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A5A2" w14:textId="77777777" w:rsidR="006A1CCC" w:rsidRPr="00A25646" w:rsidRDefault="003E26F1" w:rsidP="00A25646">
      <w:pPr>
        <w:jc w:val="center"/>
        <w:rPr>
          <w:b/>
        </w:rPr>
      </w:pPr>
      <w:r>
        <w:rPr>
          <w:b/>
        </w:rPr>
        <w:t xml:space="preserve">VERİ </w:t>
      </w:r>
      <w:r w:rsidR="00BF5989">
        <w:rPr>
          <w:b/>
        </w:rPr>
        <w:t xml:space="preserve">KORUMA </w:t>
      </w:r>
      <w:r>
        <w:rPr>
          <w:b/>
        </w:rPr>
        <w:t>VE GİZLİLİK</w:t>
      </w:r>
      <w:r w:rsidR="0081313F">
        <w:rPr>
          <w:b/>
        </w:rPr>
        <w:t xml:space="preserve"> POLİTİKASI</w:t>
      </w:r>
    </w:p>
    <w:p w14:paraId="0BCC20C1" w14:textId="2C85EFD4" w:rsidR="00A25646" w:rsidRDefault="003E26F1" w:rsidP="006A1CCC">
      <w:pPr>
        <w:jc w:val="both"/>
      </w:pPr>
      <w:r w:rsidRPr="003E26F1">
        <w:t xml:space="preserve">Bu internet sitesine </w:t>
      </w:r>
      <w:r w:rsidRPr="003E26F1">
        <w:rPr>
          <w:b/>
        </w:rPr>
        <w:t>(“Site”)</w:t>
      </w:r>
      <w:r w:rsidRPr="003E26F1">
        <w:t xml:space="preserve"> erişim ve Site’nin kullanımı aşağıda belirtilen şartlara tabiidir. Bu Site</w:t>
      </w:r>
      <w:r w:rsidR="00B01FB4">
        <w:t xml:space="preserve"> </w:t>
      </w:r>
      <w:r w:rsidR="001A3209" w:rsidRPr="001A3209">
        <w:t>Boston Scientific Tıp Gereçleri Limited Şirketi</w:t>
      </w:r>
      <w:r w:rsidRPr="003E26F1">
        <w:t xml:space="preserve"> </w:t>
      </w:r>
      <w:r w:rsidR="001A3209">
        <w:rPr>
          <w:b/>
        </w:rPr>
        <w:t>(“Boston Scientific</w:t>
      </w:r>
      <w:r w:rsidRPr="003E26F1">
        <w:rPr>
          <w:b/>
        </w:rPr>
        <w:t>”)</w:t>
      </w:r>
      <w:r w:rsidR="001A3209">
        <w:t xml:space="preserve"> tarafından geliştirilmiştir. Boston Scientific</w:t>
      </w:r>
      <w:r w:rsidR="006A1CCC" w:rsidRPr="006A1CCC">
        <w:t xml:space="preserve"> </w:t>
      </w:r>
      <w:r w:rsidR="001A3209">
        <w:t xml:space="preserve">Site kullanıcılarının, </w:t>
      </w:r>
      <w:r w:rsidR="005C0647">
        <w:t>ziyaretçilerinin</w:t>
      </w:r>
      <w:r w:rsidR="001A3209">
        <w:t>, kendisi ile sözleşme ilişkisi içinde bulunan müşterilerin, tedarikçilerin, iş ortaklarının ve varsa bunların yetkili/çalışanlarının ve herhangi bir iletişim aracı ile kendisi iletişime geçen gerçek kişilerin</w:t>
      </w:r>
      <w:r w:rsidR="005C0647">
        <w:t xml:space="preserve"> hangi tür</w:t>
      </w:r>
      <w:r w:rsidR="006A1CCC" w:rsidRPr="006A1CCC">
        <w:t xml:space="preserve"> bilgileri</w:t>
      </w:r>
      <w:r w:rsidR="005C0647">
        <w:t>ni</w:t>
      </w:r>
      <w:r w:rsidR="006A1CCC" w:rsidRPr="006A1CCC">
        <w:t xml:space="preserve"> topladığı ve hangi tür bilgileri göz ardı ettiği hakkında</w:t>
      </w:r>
      <w:r w:rsidR="00502E6C">
        <w:t xml:space="preserve"> onları</w:t>
      </w:r>
      <w:r w:rsidR="006A1CCC" w:rsidRPr="006A1CCC">
        <w:t xml:space="preserve"> bilgilendirmek </w:t>
      </w:r>
      <w:r w:rsidR="00502E6C">
        <w:t>istemektedir</w:t>
      </w:r>
      <w:r w:rsidR="006A1CCC" w:rsidRPr="006A1CCC">
        <w:t xml:space="preserve">. </w:t>
      </w:r>
    </w:p>
    <w:p w14:paraId="31114AFB" w14:textId="579E8264" w:rsidR="00A25646" w:rsidRDefault="00502E6C" w:rsidP="006A1CCC">
      <w:pPr>
        <w:jc w:val="both"/>
      </w:pPr>
      <w:r>
        <w:t>İşb</w:t>
      </w:r>
      <w:r w:rsidR="006A1CCC" w:rsidRPr="006A1CCC">
        <w:t xml:space="preserve">u </w:t>
      </w:r>
      <w:r w:rsidR="00BF5989">
        <w:t>V</w:t>
      </w:r>
      <w:r w:rsidR="003E26F1">
        <w:t>eri</w:t>
      </w:r>
      <w:r w:rsidR="00BF5989">
        <w:t xml:space="preserve"> Koruma</w:t>
      </w:r>
      <w:r w:rsidR="003E26F1">
        <w:t xml:space="preserve"> ve </w:t>
      </w:r>
      <w:r w:rsidR="00BF5989">
        <w:t>G</w:t>
      </w:r>
      <w:r w:rsidR="003E26F1">
        <w:t>izlilik</w:t>
      </w:r>
      <w:r w:rsidR="006A1CCC" w:rsidRPr="006A1CCC">
        <w:t xml:space="preserve"> </w:t>
      </w:r>
      <w:r w:rsidR="00BF5989">
        <w:t>P</w:t>
      </w:r>
      <w:r w:rsidR="006A1CCC" w:rsidRPr="006A1CCC">
        <w:t>olitikası</w:t>
      </w:r>
      <w:r>
        <w:t xml:space="preserve"> (</w:t>
      </w:r>
      <w:r w:rsidRPr="001B1A39">
        <w:rPr>
          <w:b/>
        </w:rPr>
        <w:t>“Gizlilik Politikası”</w:t>
      </w:r>
      <w:r>
        <w:t>)</w:t>
      </w:r>
      <w:r w:rsidR="005C0647">
        <w:t>,</w:t>
      </w:r>
      <w:r w:rsidR="006A1CCC" w:rsidRPr="006A1CCC">
        <w:t xml:space="preserve"> </w:t>
      </w:r>
      <w:r w:rsidR="001A3209">
        <w:t>yukarıda anılmış</w:t>
      </w:r>
      <w:r w:rsidR="005C0647">
        <w:t xml:space="preserve"> </w:t>
      </w:r>
      <w:r w:rsidR="001A3209">
        <w:t xml:space="preserve">kişilerin </w:t>
      </w:r>
      <w:r w:rsidR="005C0647">
        <w:t xml:space="preserve">kişisel </w:t>
      </w:r>
      <w:r w:rsidR="00712513">
        <w:t xml:space="preserve">verilerine </w:t>
      </w:r>
      <w:r w:rsidR="005C0647">
        <w:t>ilişkin almış olduğumuz gizlilik ve güvenlik önlemlerimiz</w:t>
      </w:r>
      <w:r w:rsidR="00712513">
        <w:t xml:space="preserve"> ve kişisel verilerinize dair haklarınızla</w:t>
      </w:r>
      <w:r w:rsidR="005C0647">
        <w:t xml:space="preserve"> ilgili bilgilendirme yapmayı amaçlamaktadır</w:t>
      </w:r>
      <w:r w:rsidR="006A1CCC" w:rsidRPr="006A1CCC">
        <w:t>. Gizlilik Politikası</w:t>
      </w:r>
      <w:r>
        <w:t>,</w:t>
      </w:r>
      <w:r w:rsidR="006A1CCC" w:rsidRPr="006A1CCC">
        <w:t xml:space="preserve"> </w:t>
      </w:r>
      <w:r w:rsidR="001A3209">
        <w:t>söz konusu</w:t>
      </w:r>
      <w:r w:rsidR="006A1CCC" w:rsidRPr="006A1CCC">
        <w:t xml:space="preserve"> kişisel </w:t>
      </w:r>
      <w:r w:rsidR="00712513">
        <w:t xml:space="preserve">verileri </w:t>
      </w:r>
      <w:r w:rsidR="006A1CCC" w:rsidRPr="006A1CCC">
        <w:t xml:space="preserve">işleme, toplama, saklama ve kullanma yöntemlerimizi açıklamaktadır. </w:t>
      </w:r>
      <w:r w:rsidR="00776908" w:rsidRPr="006A1CCC">
        <w:t>Gizlilik Politikamız hem ana sayfamızda hem de</w:t>
      </w:r>
      <w:r w:rsidR="007855CC">
        <w:t xml:space="preserve"> kullanıcı ve ziyaretçilere ait</w:t>
      </w:r>
      <w:r w:rsidR="00776908" w:rsidRPr="006A1CCC">
        <w:t xml:space="preserve"> </w:t>
      </w:r>
      <w:r w:rsidR="007855CC">
        <w:t>k</w:t>
      </w:r>
      <w:r w:rsidR="00776908" w:rsidRPr="006A1CCC">
        <w:t xml:space="preserve">işisel </w:t>
      </w:r>
      <w:r w:rsidR="007855CC">
        <w:t>v</w:t>
      </w:r>
      <w:r w:rsidR="00776908" w:rsidRPr="006A1CCC">
        <w:t xml:space="preserve">erilerin </w:t>
      </w:r>
      <w:r w:rsidR="007855CC">
        <w:t xml:space="preserve">toplandığı </w:t>
      </w:r>
      <w:r w:rsidR="00776908" w:rsidRPr="006A1CCC">
        <w:t>her sayfada bulunmaktadır.</w:t>
      </w:r>
    </w:p>
    <w:p w14:paraId="7F7641DE" w14:textId="77777777" w:rsidR="00A25646" w:rsidRPr="00A25646" w:rsidRDefault="00A25646" w:rsidP="003E26F1">
      <w:pPr>
        <w:pStyle w:val="ListParagraph"/>
        <w:numPr>
          <w:ilvl w:val="0"/>
          <w:numId w:val="2"/>
        </w:numPr>
        <w:ind w:left="284" w:hanging="284"/>
        <w:jc w:val="both"/>
        <w:rPr>
          <w:b/>
        </w:rPr>
      </w:pPr>
      <w:r w:rsidRPr="00A25646">
        <w:rPr>
          <w:b/>
        </w:rPr>
        <w:t>KİŞİSEL VERİLER ve MAHREMİYET</w:t>
      </w:r>
    </w:p>
    <w:p w14:paraId="11F5D025" w14:textId="77777777" w:rsidR="001A3209" w:rsidRDefault="001A3209" w:rsidP="00A25646">
      <w:pPr>
        <w:jc w:val="both"/>
      </w:pPr>
      <w:r>
        <w:t>Yukarıda anılmış gerçek kişilere ilişkin veriler</w:t>
      </w:r>
      <w:r w:rsidR="00A25646">
        <w:t>, Türkiye’de kişisel verilerin korunmasını düzenleyen 6698 sayılı Kişisel Verilerin Korunması Kanunu (</w:t>
      </w:r>
      <w:r w:rsidR="00712513">
        <w:rPr>
          <w:b/>
        </w:rPr>
        <w:t>“</w:t>
      </w:r>
      <w:r w:rsidR="00A25646" w:rsidRPr="001B1A39">
        <w:rPr>
          <w:b/>
        </w:rPr>
        <w:t>KVKK“</w:t>
      </w:r>
      <w:r w:rsidR="00A25646">
        <w:t>)</w:t>
      </w:r>
      <w:r w:rsidR="008667CC">
        <w:t xml:space="preserve"> ve hukuki dayanağını ondan alan ikincil mevzuat</w:t>
      </w:r>
      <w:r w:rsidR="00B83FB8">
        <w:t xml:space="preserve"> </w:t>
      </w:r>
      <w:r w:rsidR="00712513">
        <w:t xml:space="preserve">ile Kişisel Verileri Koruma Kurulu kararları (Hepsi birlikte </w:t>
      </w:r>
      <w:r w:rsidR="008667CC" w:rsidRPr="003E26F1">
        <w:rPr>
          <w:b/>
        </w:rPr>
        <w:t>“Veri Koruma Mevzuatı”</w:t>
      </w:r>
      <w:r w:rsidR="00B83FB8">
        <w:rPr>
          <w:b/>
        </w:rPr>
        <w:t xml:space="preserve"> </w:t>
      </w:r>
      <w:r w:rsidR="00712513" w:rsidRPr="00DB0CEC">
        <w:t>olarak anılacaktır.</w:t>
      </w:r>
      <w:r w:rsidR="00712513">
        <w:t>)</w:t>
      </w:r>
      <w:r w:rsidR="00A25646">
        <w:t>uyarınca</w:t>
      </w:r>
      <w:r w:rsidR="00776908">
        <w:t xml:space="preserve">, </w:t>
      </w:r>
      <w:r w:rsidR="005E1F84">
        <w:t>işbu Gizlilik Politikası’nda açıklanan amaçlarla sınırlı olmak üzere</w:t>
      </w:r>
      <w:r w:rsidR="00A25646">
        <w:t xml:space="preserve"> toplanma</w:t>
      </w:r>
      <w:r>
        <w:t>kta, depolanmakta ve işlenmektedir</w:t>
      </w:r>
      <w:r w:rsidR="00A25646">
        <w:t xml:space="preserve">. </w:t>
      </w:r>
    </w:p>
    <w:p w14:paraId="76C9D4CF" w14:textId="3C703CA3" w:rsidR="00FA1CBE" w:rsidRDefault="001A3209" w:rsidP="00A25646">
      <w:pPr>
        <w:jc w:val="both"/>
      </w:pPr>
      <w:r>
        <w:t>Boston Scientific</w:t>
      </w:r>
      <w:r w:rsidR="00A25646">
        <w:t xml:space="preserve">, kişisel verileri korumak için </w:t>
      </w:r>
      <w:r w:rsidR="008A360E">
        <w:t>Veri Koruma Mevzuatı</w:t>
      </w:r>
      <w:r w:rsidR="00A25646">
        <w:t xml:space="preserve"> ve </w:t>
      </w:r>
      <w:r w:rsidR="005E1F84">
        <w:t xml:space="preserve">yürürlükteki </w:t>
      </w:r>
      <w:r w:rsidR="00A25646">
        <w:t xml:space="preserve">sair mevzuat uyarınca belirlenen önlemleri alır. Kişisel veriler, </w:t>
      </w:r>
      <w:r w:rsidR="00712513">
        <w:t xml:space="preserve">gerektiği hallerde </w:t>
      </w:r>
      <w:r w:rsidR="000124C2">
        <w:t>Veri Koruma Mevzuatı’nın</w:t>
      </w:r>
      <w:r w:rsidR="00A25646">
        <w:t xml:space="preserve"> izin verdiği ölçüde kullanılmak üzere t</w:t>
      </w:r>
      <w:r>
        <w:t>oplanır, depolanır ve işlenir.</w:t>
      </w:r>
      <w:r w:rsidR="00A25646">
        <w:t xml:space="preserve"> </w:t>
      </w:r>
    </w:p>
    <w:p w14:paraId="37F61072" w14:textId="6C4BFB12" w:rsidR="00A25646" w:rsidRDefault="00FA1CBE" w:rsidP="00A25646">
      <w:pPr>
        <w:jc w:val="both"/>
      </w:pPr>
      <w:r w:rsidRPr="00FA1CBE">
        <w:t xml:space="preserve">Kişiler verileriniz, </w:t>
      </w:r>
      <w:r>
        <w:t>B</w:t>
      </w:r>
      <w:r w:rsidR="001A3209">
        <w:t>oston Scientific</w:t>
      </w:r>
      <w:r w:rsidRPr="00FA1CBE">
        <w:t xml:space="preserve"> ve </w:t>
      </w:r>
      <w:r>
        <w:t>B</w:t>
      </w:r>
      <w:r w:rsidR="001A3209">
        <w:t>oston Scientific’in</w:t>
      </w:r>
      <w:r w:rsidRPr="00FA1CBE">
        <w:t xml:space="preserve"> farklı tüzel kişiliğe sahip yerel ve global şirketleri, bağlı iştirakleri ve bir hizmet ve/veya eser sözleşmesi vasıtasıyla hizmet satın aldığı gizlilik yükümlülüğü bulunan hizmet sağlayıcıları tarafından,</w:t>
      </w:r>
      <w:r w:rsidR="001A3209">
        <w:t xml:space="preserve"> Boston Scientific’in</w:t>
      </w:r>
      <w:r w:rsidRPr="00FA1CBE">
        <w:t xml:space="preserve"> faaliyetlerini etkin şekilde yürütebilmek için kullanmakta olduğu global veri işleme sistemlerinde kaydedilebilecek, işlenebilecek ve bu sebeplerle yurt dışına aktarıl</w:t>
      </w:r>
      <w:r w:rsidR="001A3209">
        <w:t>abilecektir. Kişisel veriler</w:t>
      </w:r>
      <w:r w:rsidRPr="00FA1CBE">
        <w:t xml:space="preserve">, </w:t>
      </w:r>
      <w:r>
        <w:t>B</w:t>
      </w:r>
      <w:r w:rsidR="001A3209">
        <w:t>oston Scientific</w:t>
      </w:r>
      <w:r w:rsidRPr="00FA1CBE">
        <w:t xml:space="preserve"> ve </w:t>
      </w:r>
      <w:r w:rsidR="001A3209">
        <w:t>Boston Scientific’i</w:t>
      </w:r>
      <w:r w:rsidRPr="00FA1CBE">
        <w:t xml:space="preserve">n farklı tüzel kişiliğe sahip yerel ve global şirketleri, bağlı iştirakleri ve bir hizmet ve/veya eser sözleşmesi vasıtasıyla hizmet satın aldığı gizlilik yükümlülüğü bulunan hizmet sağlayıcıları ve işbu </w:t>
      </w:r>
      <w:r>
        <w:t>Gizlilik Politikası’nda</w:t>
      </w:r>
      <w:r w:rsidRPr="00FA1CBE">
        <w:t xml:space="preserve"> belirtilen kişiler dışındaki üçüncü kişilere aktarılmayacaktır. </w:t>
      </w:r>
      <w:r w:rsidR="00A25646">
        <w:t>B</w:t>
      </w:r>
      <w:r w:rsidR="001A3209">
        <w:t>oston Scientific’</w:t>
      </w:r>
      <w:r w:rsidR="00A25646">
        <w:t xml:space="preserve">in temsilcileri ile hizmet satın aldığı üçüncü kişilerin, söz konusu kişisel verilerin gizliliğini koruma ve kişisel verinin sahibinin izni olmaksızın </w:t>
      </w:r>
      <w:r w:rsidR="00266A6F">
        <w:t xml:space="preserve">yukarıda sayılanların haricinde </w:t>
      </w:r>
      <w:r w:rsidR="00A25646">
        <w:t>üçüncü kişilerle paylaşmama yükümlülüğü bulunmaktadır.</w:t>
      </w:r>
    </w:p>
    <w:p w14:paraId="5D84BF90" w14:textId="77777777" w:rsidR="00A25646" w:rsidRPr="00A25646" w:rsidRDefault="00A25646" w:rsidP="003E26F1">
      <w:pPr>
        <w:pStyle w:val="ListParagraph"/>
        <w:numPr>
          <w:ilvl w:val="0"/>
          <w:numId w:val="2"/>
        </w:numPr>
        <w:ind w:left="284" w:hanging="284"/>
        <w:jc w:val="both"/>
      </w:pPr>
      <w:r w:rsidRPr="00A25646">
        <w:rPr>
          <w:b/>
        </w:rPr>
        <w:t>KİŞİSEL VERİLERİN TOPLANMASI</w:t>
      </w:r>
      <w:r>
        <w:rPr>
          <w:b/>
        </w:rPr>
        <w:t xml:space="preserve"> ve AMACI</w:t>
      </w:r>
    </w:p>
    <w:p w14:paraId="694BDE9E" w14:textId="6386EED0" w:rsidR="00A25646" w:rsidRDefault="001A3209" w:rsidP="00A25646">
      <w:pPr>
        <w:jc w:val="both"/>
      </w:pPr>
      <w:r>
        <w:t>Boston Scientific</w:t>
      </w:r>
      <w:r w:rsidR="00A25646">
        <w:t xml:space="preserve">, kullanıcı trafiği kalıplarını takip etmek ve kullanıcılar için daha iyi ürün ve hizmetler tasarlamak amacıyla, kullanıcıların </w:t>
      </w:r>
      <w:r w:rsidR="00CA2F1B">
        <w:t xml:space="preserve">Site’deki </w:t>
      </w:r>
      <w:r w:rsidR="00A25646">
        <w:t>ürün ve hizmetleri kullanması ile ilgili bilgileri kullan</w:t>
      </w:r>
      <w:r>
        <w:t>maktad</w:t>
      </w:r>
      <w:r w:rsidR="00A25646">
        <w:t>ır.</w:t>
      </w:r>
      <w:r w:rsidR="00A25646" w:rsidRPr="00A25646">
        <w:t xml:space="preserve"> Aksi belirtilmediği takdirde,</w:t>
      </w:r>
      <w:r w:rsidR="00A25646">
        <w:t xml:space="preserve"> </w:t>
      </w:r>
      <w:r w:rsidR="00CA2F1B">
        <w:t>Site</w:t>
      </w:r>
      <w:r w:rsidR="00A25646">
        <w:t xml:space="preserve"> yoluyla toplanan bilgiler, </w:t>
      </w:r>
      <w:r w:rsidR="00CA2F1B">
        <w:t>Site</w:t>
      </w:r>
      <w:r w:rsidR="00A25646">
        <w:t xml:space="preserve"> </w:t>
      </w:r>
      <w:r w:rsidR="00A25646" w:rsidRPr="00A25646">
        <w:t>içeriğini</w:t>
      </w:r>
      <w:r w:rsidR="00A25646">
        <w:t>n</w:t>
      </w:r>
      <w:r w:rsidR="00A25646" w:rsidRPr="00A25646">
        <w:t xml:space="preserve"> geliştir</w:t>
      </w:r>
      <w:r w:rsidR="00A25646">
        <w:t xml:space="preserve">ilmesi, </w:t>
      </w:r>
      <w:r w:rsidR="00CA2F1B">
        <w:t>Site</w:t>
      </w:r>
      <w:r w:rsidR="00780FAC">
        <w:t>’</w:t>
      </w:r>
      <w:r w:rsidR="00A25646">
        <w:t>nin</w:t>
      </w:r>
      <w:r w:rsidR="00A25646" w:rsidRPr="00A25646">
        <w:t xml:space="preserve"> tercihleriniz temelinde </w:t>
      </w:r>
      <w:r w:rsidR="00A25646">
        <w:t>ihtiyaçlarınıza göre düzenlenmesi</w:t>
      </w:r>
      <w:r w:rsidR="00A25646" w:rsidRPr="00A25646">
        <w:t xml:space="preserve"> ve </w:t>
      </w:r>
      <w:r w:rsidR="00606F3C">
        <w:t xml:space="preserve">burada </w:t>
      </w:r>
      <w:r w:rsidR="00A25646" w:rsidRPr="00A25646">
        <w:t xml:space="preserve">belirtilen diğer </w:t>
      </w:r>
      <w:r w:rsidR="00780FAC">
        <w:t>amaçlar için kullanılabilir</w:t>
      </w:r>
      <w:r w:rsidR="00A25646" w:rsidRPr="00A25646">
        <w:t>.</w:t>
      </w:r>
    </w:p>
    <w:p w14:paraId="4981C5A4" w14:textId="2654DF58" w:rsidR="00F16856" w:rsidRDefault="00F16856" w:rsidP="00712513">
      <w:pPr>
        <w:jc w:val="both"/>
      </w:pPr>
      <w:r>
        <w:t>Boston Scientific bunun yanı sıra aşağıdaki amaçlarla da kendisiyle kurulacak ilişki kapsamında kişisel verilerinizi işleyebilir:</w:t>
      </w:r>
    </w:p>
    <w:p w14:paraId="7BD82479" w14:textId="6C8FDC3F" w:rsidR="00F16856" w:rsidRDefault="00224D47" w:rsidP="00224D47">
      <w:pPr>
        <w:pStyle w:val="ListParagraph"/>
        <w:numPr>
          <w:ilvl w:val="0"/>
          <w:numId w:val="6"/>
        </w:numPr>
        <w:jc w:val="both"/>
      </w:pPr>
      <w:r w:rsidRPr="00224D47">
        <w:t>Şirketimizin işletme faaliyetlerinin, iş ilişkilerimizin ve insan kaynakları süreçlerinin yürütülebilmesi,</w:t>
      </w:r>
    </w:p>
    <w:p w14:paraId="4C212BC2" w14:textId="11668B6A" w:rsidR="00224D47" w:rsidRDefault="00224D47" w:rsidP="00224D47">
      <w:pPr>
        <w:pStyle w:val="ListParagraph"/>
        <w:numPr>
          <w:ilvl w:val="0"/>
          <w:numId w:val="6"/>
        </w:numPr>
        <w:jc w:val="both"/>
      </w:pPr>
      <w:r w:rsidRPr="00224D47">
        <w:lastRenderedPageBreak/>
        <w:t>Çalışan adaylarının ilgili süreçlerinin yürütülmesi ve iş sözleşmelerinin kurulması,</w:t>
      </w:r>
    </w:p>
    <w:p w14:paraId="51F517F6" w14:textId="7E3180A5" w:rsidR="00F16856" w:rsidRDefault="00F16856" w:rsidP="00F16856">
      <w:pPr>
        <w:pStyle w:val="ListParagraph"/>
        <w:numPr>
          <w:ilvl w:val="0"/>
          <w:numId w:val="6"/>
        </w:numPr>
        <w:jc w:val="both"/>
      </w:pPr>
      <w:r w:rsidRPr="00F16856">
        <w:t>İletişim faaliyetlerinin yürütülmesi</w:t>
      </w:r>
      <w:r w:rsidR="00224D47">
        <w:t>,</w:t>
      </w:r>
    </w:p>
    <w:p w14:paraId="66015119" w14:textId="25FF216C" w:rsidR="00224D47" w:rsidRDefault="00224D47" w:rsidP="00224D47">
      <w:pPr>
        <w:pStyle w:val="ListParagraph"/>
        <w:numPr>
          <w:ilvl w:val="0"/>
          <w:numId w:val="6"/>
        </w:numPr>
        <w:jc w:val="both"/>
      </w:pPr>
      <w:r w:rsidRPr="00224D47">
        <w:t>Ziyaretçi kayıtlarının oluşturulması ve takibi</w:t>
      </w:r>
      <w:r>
        <w:t>,</w:t>
      </w:r>
    </w:p>
    <w:p w14:paraId="51619BED" w14:textId="7AB63935" w:rsidR="00F16856" w:rsidRDefault="00F16856" w:rsidP="00F16856">
      <w:pPr>
        <w:pStyle w:val="ListParagraph"/>
        <w:numPr>
          <w:ilvl w:val="0"/>
          <w:numId w:val="6"/>
        </w:numPr>
        <w:jc w:val="both"/>
      </w:pPr>
      <w:r>
        <w:t>Mal veya hizmet satın alım süreçlerinin</w:t>
      </w:r>
      <w:r w:rsidR="00224D47">
        <w:t xml:space="preserve"> yürütülmesi,</w:t>
      </w:r>
    </w:p>
    <w:p w14:paraId="7EAD57A1" w14:textId="79AE28BF" w:rsidR="00F16856" w:rsidRDefault="00F16856" w:rsidP="007502F8">
      <w:pPr>
        <w:pStyle w:val="ListParagraph"/>
        <w:numPr>
          <w:ilvl w:val="0"/>
          <w:numId w:val="6"/>
        </w:numPr>
        <w:jc w:val="both"/>
      </w:pPr>
      <w:r>
        <w:t>Mal üretim</w:t>
      </w:r>
      <w:r w:rsidR="00224D47">
        <w:t xml:space="preserve">, satış, talep ve </w:t>
      </w:r>
      <w:r w:rsidR="00CB4A89">
        <w:t>şikâyetlerinin</w:t>
      </w:r>
      <w:r w:rsidR="00224D47">
        <w:t xml:space="preserve"> takibi ve satış sonrası destek hizmetlerinin yürütülmesi,</w:t>
      </w:r>
      <w:r>
        <w:t xml:space="preserve"> </w:t>
      </w:r>
    </w:p>
    <w:p w14:paraId="450D0072" w14:textId="0B01BD22" w:rsidR="00F16856" w:rsidRDefault="00F16856" w:rsidP="00E10D85">
      <w:pPr>
        <w:pStyle w:val="ListParagraph"/>
        <w:numPr>
          <w:ilvl w:val="0"/>
          <w:numId w:val="6"/>
        </w:numPr>
        <w:jc w:val="both"/>
      </w:pPr>
      <w:r>
        <w:t>Sözleşme süreçlerinin yürütülmesi</w:t>
      </w:r>
      <w:r w:rsidR="00224D47">
        <w:t>,</w:t>
      </w:r>
    </w:p>
    <w:p w14:paraId="3FE338AB" w14:textId="4BC8E335" w:rsidR="00224D47" w:rsidRDefault="00224D47" w:rsidP="00224D47">
      <w:pPr>
        <w:pStyle w:val="ListParagraph"/>
        <w:numPr>
          <w:ilvl w:val="0"/>
          <w:numId w:val="6"/>
        </w:numPr>
        <w:jc w:val="both"/>
      </w:pPr>
      <w:r w:rsidRPr="00224D47">
        <w:t>Yetkili kurum ve kuruluşlara ilgili mevzuattan doğan yükümlülüklere istinaden bilgi verilmesi</w:t>
      </w:r>
      <w:r>
        <w:t>.</w:t>
      </w:r>
    </w:p>
    <w:p w14:paraId="0466E455" w14:textId="77777777" w:rsidR="00224D47" w:rsidRDefault="00224D47" w:rsidP="00224D47">
      <w:pPr>
        <w:pStyle w:val="ListParagraph"/>
        <w:jc w:val="both"/>
      </w:pPr>
    </w:p>
    <w:p w14:paraId="3951927E" w14:textId="5304F49C" w:rsidR="00712513" w:rsidRPr="00DB0CEC" w:rsidRDefault="00CE1C48" w:rsidP="00712513">
      <w:pPr>
        <w:pStyle w:val="ListParagraph"/>
        <w:numPr>
          <w:ilvl w:val="0"/>
          <w:numId w:val="2"/>
        </w:numPr>
        <w:ind w:left="284" w:hanging="284"/>
        <w:jc w:val="both"/>
        <w:rPr>
          <w:b/>
        </w:rPr>
      </w:pPr>
      <w:r>
        <w:rPr>
          <w:b/>
        </w:rPr>
        <w:t>ÜRÜN GÜVENLİĞİ</w:t>
      </w:r>
      <w:r w:rsidR="00712513" w:rsidRPr="00DB0CEC">
        <w:rPr>
          <w:b/>
        </w:rPr>
        <w:t xml:space="preserve"> FAALİYETLERİ</w:t>
      </w:r>
    </w:p>
    <w:p w14:paraId="1B44671E" w14:textId="1ECBD427" w:rsidR="00CE1C48" w:rsidRDefault="00CE1C48" w:rsidP="00712513">
      <w:pPr>
        <w:jc w:val="both"/>
      </w:pPr>
      <w:r>
        <w:t>Boston Scientific</w:t>
      </w:r>
      <w:r w:rsidR="00712513">
        <w:t xml:space="preserve"> tabi olduğu mevzuat uyarınca, </w:t>
      </w:r>
      <w:r>
        <w:t>Boston Scientific’in cihazlarına ilişkin kullanım kaynaklı problemleri, kalite ve şikayet bildirimlerini gerçekleştiren sağlık mensuplarına ait kişisel verileri</w:t>
      </w:r>
      <w:r w:rsidR="00224D47">
        <w:t>, s</w:t>
      </w:r>
      <w:r>
        <w:t xml:space="preserve">özü edilmiş ürünlerin güvenliliğinin izlenmesi ve gerektiğinde ulusal ya da uluslararası düzeyde birtakım tedbirlerin alınarak halk sağlığının korunması amacıyla ilgili </w:t>
      </w:r>
      <w:r w:rsidR="00712513">
        <w:t>kanunlar ve sair mevzuattan doğan yükümlülükler</w:t>
      </w:r>
      <w:r>
        <w:t>i</w:t>
      </w:r>
      <w:r w:rsidR="00712513">
        <w:t xml:space="preserve"> gereğince işleyebilir ve bu verileri yetkili idari makamlarla</w:t>
      </w:r>
      <w:r>
        <w:t xml:space="preserve"> ve meşru menfaatleri uyarınca yurt dışında bulunan ilgili Boston Scientific çalışma gruplarıyla</w:t>
      </w:r>
      <w:r w:rsidR="00712513">
        <w:t xml:space="preserve"> paylaşılabilir. </w:t>
      </w:r>
    </w:p>
    <w:p w14:paraId="0C96B02B" w14:textId="36AC9CE4" w:rsidR="00224D47" w:rsidRDefault="00CE1C48" w:rsidP="00712513">
      <w:pPr>
        <w:jc w:val="both"/>
      </w:pPr>
      <w:r>
        <w:t>Sözü edil</w:t>
      </w:r>
      <w:r w:rsidR="00F16856">
        <w:t>miş bildirim süreçleri sırasında</w:t>
      </w:r>
      <w:r>
        <w:t xml:space="preserve"> toplanan bilgiler </w:t>
      </w:r>
      <w:r w:rsidR="00F16856">
        <w:t>bildirimi gerçekleştiren kişinin</w:t>
      </w:r>
      <w:r>
        <w:t xml:space="preserve"> adı</w:t>
      </w:r>
      <w:r w:rsidR="00F16856">
        <w:t>, iletişim bilgileri</w:t>
      </w:r>
      <w:r>
        <w:t xml:space="preserve"> ve mesleğini/bağlı olduğu kuruluş bilgileri</w:t>
      </w:r>
      <w:r w:rsidR="00F16856">
        <w:t>nden ibarettir.</w:t>
      </w:r>
    </w:p>
    <w:p w14:paraId="73680D63" w14:textId="79D68B58" w:rsidR="00224D47" w:rsidRPr="00224D47" w:rsidRDefault="00224D47" w:rsidP="00224D47">
      <w:pPr>
        <w:pStyle w:val="ListParagraph"/>
        <w:numPr>
          <w:ilvl w:val="0"/>
          <w:numId w:val="2"/>
        </w:numPr>
        <w:ind w:left="284" w:hanging="284"/>
        <w:jc w:val="both"/>
        <w:rPr>
          <w:b/>
        </w:rPr>
      </w:pPr>
      <w:r w:rsidRPr="00224D47">
        <w:rPr>
          <w:b/>
        </w:rPr>
        <w:t>KİŞİSEL VERİLERİN AKTARIMI</w:t>
      </w:r>
    </w:p>
    <w:p w14:paraId="584884DD" w14:textId="249C450F" w:rsidR="00224D47" w:rsidRPr="00224D47" w:rsidRDefault="00224D47" w:rsidP="00224D47">
      <w:pPr>
        <w:jc w:val="both"/>
      </w:pPr>
      <w:r>
        <w:t>Kişisel veriler Boston Scientific ile aranızda bulunan ilişki</w:t>
      </w:r>
      <w:r w:rsidR="00D479B3">
        <w:t xml:space="preserve">nin gerekleriyle sınırlı olmak </w:t>
      </w:r>
      <w:r>
        <w:t>ve Veri Koruma Mevzuatı’nda öngörülmüş önlemleri almak suretiyle</w:t>
      </w:r>
      <w:r w:rsidR="00D479B3">
        <w:t xml:space="preserve"> Boston Scientific’in gizlilik yükümlülüğü bulunan tedarikçileri ile ve iş ortaklarıyla paylaşılabilecektir.</w:t>
      </w:r>
      <w:r>
        <w:t xml:space="preserve"> </w:t>
      </w:r>
    </w:p>
    <w:p w14:paraId="565FD0D7" w14:textId="00A13CB9" w:rsidR="00224D47" w:rsidRPr="00224D47" w:rsidRDefault="00D479B3" w:rsidP="00224D47">
      <w:pPr>
        <w:jc w:val="both"/>
      </w:pPr>
      <w:r>
        <w:t xml:space="preserve">Bunun yanı sıra Türkiye’de uygulanabilir mevzuattan kaynaklanan yükümlülüklerimizin yerine getirilmesi maksatlarıyla sınırlı olmak üzere açık rıza gerekmeksizin Boston Scientific’in </w:t>
      </w:r>
      <w:r w:rsidR="00224D47" w:rsidRPr="00224D47">
        <w:t>mevzuata uyumluluğunu denetlemek ve/veya sağlamak amacıyla kiş</w:t>
      </w:r>
      <w:r>
        <w:t>isel verilerinizi kullanabilir, yetkili idari makamlarla paylaşabiliriz</w:t>
      </w:r>
      <w:r w:rsidR="00224D47" w:rsidRPr="00224D47">
        <w:t>.</w:t>
      </w:r>
    </w:p>
    <w:p w14:paraId="52D44310" w14:textId="77777777" w:rsidR="00224D47" w:rsidRPr="00224D47" w:rsidRDefault="00224D47" w:rsidP="00224D47">
      <w:pPr>
        <w:jc w:val="both"/>
      </w:pPr>
      <w:r w:rsidRPr="00224D47">
        <w:t>Aşağıdaki durumlardan birinin varlığı halinde kişisel verileriniz açıklanabilir:</w:t>
      </w:r>
    </w:p>
    <w:p w14:paraId="341D935B" w14:textId="77777777" w:rsidR="00224D47" w:rsidRPr="00224D47" w:rsidRDefault="00224D47" w:rsidP="00224D47">
      <w:pPr>
        <w:numPr>
          <w:ilvl w:val="0"/>
          <w:numId w:val="7"/>
        </w:numPr>
        <w:jc w:val="both"/>
      </w:pPr>
      <w:r w:rsidRPr="00224D47">
        <w:t>Mevzuat gereği;</w:t>
      </w:r>
    </w:p>
    <w:p w14:paraId="6DAADC07" w14:textId="603BDEDC" w:rsidR="00224D47" w:rsidRPr="00224D47" w:rsidRDefault="00D479B3" w:rsidP="00224D47">
      <w:pPr>
        <w:numPr>
          <w:ilvl w:val="0"/>
          <w:numId w:val="7"/>
        </w:numPr>
        <w:jc w:val="both"/>
      </w:pPr>
      <w:r>
        <w:t>Çalışanlarımızın, kamunun veya Şirketimizin</w:t>
      </w:r>
      <w:r w:rsidR="00224D47" w:rsidRPr="00224D47">
        <w:t xml:space="preserve"> güvenliğini sağlamak amacıyla;</w:t>
      </w:r>
    </w:p>
    <w:p w14:paraId="4EC7EDCE" w14:textId="77777777" w:rsidR="00224D47" w:rsidRPr="00224D47" w:rsidRDefault="00224D47" w:rsidP="00224D47">
      <w:pPr>
        <w:numPr>
          <w:ilvl w:val="0"/>
          <w:numId w:val="7"/>
        </w:numPr>
        <w:jc w:val="both"/>
      </w:pPr>
      <w:r w:rsidRPr="00224D47">
        <w:t>Adli kovuşturma, mahkeme ilamı veya bir yasal süreci yerine getirmek amacıyla veya</w:t>
      </w:r>
    </w:p>
    <w:p w14:paraId="66FADC03" w14:textId="77777777" w:rsidR="00224D47" w:rsidRPr="00224D47" w:rsidRDefault="00224D47" w:rsidP="00224D47">
      <w:pPr>
        <w:numPr>
          <w:ilvl w:val="0"/>
          <w:numId w:val="7"/>
        </w:numPr>
        <w:jc w:val="both"/>
      </w:pPr>
      <w:r w:rsidRPr="00224D47">
        <w:t>Bir birleşme, varlık satışı veya benzer işlemler halinde.</w:t>
      </w:r>
    </w:p>
    <w:p w14:paraId="40D759AC" w14:textId="77777777" w:rsidR="00224D47" w:rsidRPr="00224D47" w:rsidRDefault="00224D47" w:rsidP="00224D47">
      <w:pPr>
        <w:jc w:val="both"/>
      </w:pPr>
      <w:r w:rsidRPr="00224D47">
        <w:t>Faaliyetlerimizi yürütebilmek amacıyla (örneğin bilgi sistemleri yönetimi ve depolanması, veri analizi vb. konularda destek almak) kişisel verilerinizi, 3. kişi hizmet sağlayıcılarına açıklayabiliriz.</w:t>
      </w:r>
    </w:p>
    <w:p w14:paraId="2097FB9F" w14:textId="77777777" w:rsidR="00224D47" w:rsidRPr="00224D47" w:rsidRDefault="00224D47" w:rsidP="00224D47">
      <w:pPr>
        <w:jc w:val="both"/>
      </w:pPr>
      <w:r w:rsidRPr="00224D47">
        <w:t>Bununla birlikte, doğrudan pazarlama mesajları almaktan vazgeçmediğiniz sürece, kişisel verilerinizi, pazar araştırması ve pazarlama kampanyaları konusunda bizlere yardımcı olan üçüncü kişilerle paylaşabiliriz.</w:t>
      </w:r>
    </w:p>
    <w:p w14:paraId="6A1BEB95" w14:textId="0DE8B24C" w:rsidR="00D479B3" w:rsidRPr="00D479B3" w:rsidRDefault="00D479B3" w:rsidP="00D479B3">
      <w:pPr>
        <w:pStyle w:val="ListParagraph"/>
        <w:numPr>
          <w:ilvl w:val="0"/>
          <w:numId w:val="2"/>
        </w:numPr>
        <w:ind w:left="284" w:hanging="284"/>
        <w:jc w:val="both"/>
        <w:rPr>
          <w:b/>
        </w:rPr>
      </w:pPr>
      <w:r w:rsidRPr="00D479B3">
        <w:rPr>
          <w:b/>
        </w:rPr>
        <w:t>YURT DIŞINA VERİ AKTARIMI</w:t>
      </w:r>
    </w:p>
    <w:p w14:paraId="0BF1067D" w14:textId="330CB9DB" w:rsidR="00224D47" w:rsidRDefault="00D479B3" w:rsidP="00712513">
      <w:pPr>
        <w:jc w:val="both"/>
      </w:pPr>
      <w:r w:rsidRPr="00D479B3">
        <w:t>İşlenme, depolanma, idare veya işbu politikada belirtilmiş başkaca bir kullanım amacıyla kişisel verileriniz Veri Koruma Mevzuatı’na uygun biçimde yurt dışına aktarabilir. Bu aktarımlarda kişisel verileriniz gerektiği şekilde korunması için gerekli tedbirler alınır.</w:t>
      </w:r>
    </w:p>
    <w:p w14:paraId="54FDFD3F" w14:textId="77777777" w:rsidR="006A1CCC" w:rsidRPr="002E1F91" w:rsidRDefault="002E1F91" w:rsidP="003E26F1">
      <w:pPr>
        <w:pStyle w:val="ListParagraph"/>
        <w:numPr>
          <w:ilvl w:val="0"/>
          <w:numId w:val="2"/>
        </w:numPr>
        <w:ind w:left="284" w:hanging="284"/>
        <w:jc w:val="both"/>
        <w:rPr>
          <w:b/>
        </w:rPr>
      </w:pPr>
      <w:r w:rsidRPr="002E1F91">
        <w:rPr>
          <w:b/>
        </w:rPr>
        <w:lastRenderedPageBreak/>
        <w:t>ÇEREZLER (COOK</w:t>
      </w:r>
      <w:r w:rsidR="00ED6B18">
        <w:rPr>
          <w:b/>
        </w:rPr>
        <w:t>I</w:t>
      </w:r>
      <w:r w:rsidRPr="002E1F91">
        <w:rPr>
          <w:b/>
        </w:rPr>
        <w:t>ES) VE İNTERNET ETİKETLERİ</w:t>
      </w:r>
    </w:p>
    <w:p w14:paraId="2EE92C02" w14:textId="1A0FCAD0" w:rsidR="000F485D" w:rsidRDefault="002E1F91" w:rsidP="000F485D">
      <w:pPr>
        <w:jc w:val="both"/>
      </w:pPr>
      <w:r w:rsidRPr="002E1F91">
        <w:t>Çerezler ve benzer teknolojiler</w:t>
      </w:r>
      <w:r w:rsidR="00CA2F1B">
        <w:t>, Site’yi</w:t>
      </w:r>
      <w:r w:rsidR="003C66E0">
        <w:t xml:space="preserve"> </w:t>
      </w:r>
      <w:r w:rsidRPr="002E1F91">
        <w:t>kullanan kullanıcılardan anlık olarak bilgi alınabilmesini ve onlara bilgi verilebi</w:t>
      </w:r>
      <w:r w:rsidR="00D479B3">
        <w:t>lmesini sağlayan araçlardır. Boston Scientific</w:t>
      </w:r>
      <w:r w:rsidRPr="002E1F91">
        <w:t>, çerezleri, bu internet sitesinin trafiğini denetlemek maksadıyla kullanır. Kullanıcılar</w:t>
      </w:r>
      <w:r w:rsidR="00AF43AA">
        <w:t xml:space="preserve"> ve ziyaretçiler</w:t>
      </w:r>
      <w:r w:rsidRPr="002E1F91">
        <w:t xml:space="preserve"> bu siteyi kullanarak çerezleri kabul etmiş sayılırlar.</w:t>
      </w:r>
      <w:r w:rsidR="001534E9">
        <w:t xml:space="preserve"> </w:t>
      </w:r>
      <w:r w:rsidR="006A1CCC" w:rsidRPr="006A1CCC">
        <w:t>Çerezler bilgisayar</w:t>
      </w:r>
      <w:r w:rsidR="001534E9">
        <w:t>lara</w:t>
      </w:r>
      <w:r w:rsidR="006A1CCC" w:rsidRPr="006A1CCC">
        <w:t xml:space="preserve"> zarar vermez. </w:t>
      </w:r>
      <w:r w:rsidR="001534E9">
        <w:t>Kullanıcılar t</w:t>
      </w:r>
      <w:r w:rsidR="006A1CCC" w:rsidRPr="006A1CCC">
        <w:t>arayıcı</w:t>
      </w:r>
      <w:r w:rsidR="001534E9">
        <w:t>larını,</w:t>
      </w:r>
      <w:r w:rsidR="006A1CCC" w:rsidRPr="006A1CCC">
        <w:t xml:space="preserve"> bilgisayar</w:t>
      </w:r>
      <w:r w:rsidR="001534E9">
        <w:t>larına</w:t>
      </w:r>
      <w:r w:rsidR="006A1CCC" w:rsidRPr="006A1CCC">
        <w:t xml:space="preserve"> "çerez" girdiğinde </w:t>
      </w:r>
      <w:r w:rsidR="001534E9">
        <w:t>uyaracak biçimde ayarlayabilirler</w:t>
      </w:r>
      <w:r w:rsidR="006A1CCC" w:rsidRPr="006A1CCC">
        <w:t>; böylece çerezi kabul edip etmeme seçeneğine sahip olur</w:t>
      </w:r>
      <w:r w:rsidR="001534E9">
        <w:t>lar</w:t>
      </w:r>
      <w:r w:rsidR="006A1CCC" w:rsidRPr="006A1CCC">
        <w:t>.</w:t>
      </w:r>
      <w:r w:rsidR="00AF43AA">
        <w:t xml:space="preserve"> Ancak çerezlerin kabul edilmemesi, Site’nin fonksiyonlarını verimli olarak yerine getirmesini engelleyebilir.</w:t>
      </w:r>
      <w:r w:rsidR="006A1CCC" w:rsidRPr="006A1CCC">
        <w:t xml:space="preserve"> </w:t>
      </w:r>
    </w:p>
    <w:p w14:paraId="424A2590" w14:textId="562749EF" w:rsidR="000F485D" w:rsidRPr="006A1CCC" w:rsidRDefault="000F485D" w:rsidP="000F485D">
      <w:pPr>
        <w:jc w:val="both"/>
      </w:pPr>
      <w:r>
        <w:t>İşbu Site, Site’ye yapılan ziyaretlerin istatistiki analizini yapabilmek adına Google Analytics yazılımı kullanır. Bu yazılım, ziyaret sayısı, Site’de veya sayfalarında geçirilen süre hakkınd</w:t>
      </w:r>
      <w:r w:rsidR="00D479B3">
        <w:t>a veriler toplar. Bu şekilde, Boston Scientific</w:t>
      </w:r>
      <w:r>
        <w:t xml:space="preserve">, Site’nin kullanımı sırasında otomatik olarak elde edilen ve kişisel veri olarak kaydedilip kullanılmayan bazı istatistiki verileri toplayabilir. </w:t>
      </w:r>
    </w:p>
    <w:p w14:paraId="77BE4958" w14:textId="77777777" w:rsidR="006A1CCC" w:rsidRPr="006A1CCC" w:rsidRDefault="001534E9" w:rsidP="003E26F1">
      <w:pPr>
        <w:pStyle w:val="ListParagraph"/>
        <w:numPr>
          <w:ilvl w:val="0"/>
          <w:numId w:val="2"/>
        </w:numPr>
        <w:ind w:left="284" w:hanging="284"/>
        <w:jc w:val="both"/>
      </w:pPr>
      <w:r w:rsidRPr="001534E9">
        <w:rPr>
          <w:b/>
        </w:rPr>
        <w:t>DİĞER SİTELERE İLİŞKİN LİNKLER</w:t>
      </w:r>
    </w:p>
    <w:p w14:paraId="5A10B88B" w14:textId="0254541E" w:rsidR="006A1CCC" w:rsidRPr="006A1CCC" w:rsidRDefault="006A1CCC" w:rsidP="006A1CCC">
      <w:pPr>
        <w:jc w:val="both"/>
      </w:pPr>
      <w:r w:rsidRPr="006A1CCC">
        <w:t xml:space="preserve">Bu Gizlilik Politikası, yalnızca bu </w:t>
      </w:r>
      <w:r w:rsidR="00AF43AA">
        <w:t>S</w:t>
      </w:r>
      <w:r w:rsidRPr="006A1CCC">
        <w:t xml:space="preserve">ite için geçerlidir; </w:t>
      </w:r>
      <w:r w:rsidR="00A25646">
        <w:t>B</w:t>
      </w:r>
      <w:r w:rsidR="00D479B3">
        <w:t>oston Scientific</w:t>
      </w:r>
      <w:r w:rsidRPr="006A1CCC">
        <w:t>’e ait olmayan internet siteleri için geçerli d</w:t>
      </w:r>
      <w:r w:rsidR="001534E9">
        <w:t xml:space="preserve">eğildir. Ancak </w:t>
      </w:r>
      <w:r w:rsidR="00AF43AA">
        <w:t xml:space="preserve">Site’de </w:t>
      </w:r>
      <w:r w:rsidRPr="006A1CCC">
        <w:t>kullanıcıların</w:t>
      </w:r>
      <w:r w:rsidR="00AF43AA">
        <w:t xml:space="preserve"> ve ziyaretçilerin</w:t>
      </w:r>
      <w:r w:rsidRPr="006A1CCC">
        <w:t xml:space="preserve"> ilgisini </w:t>
      </w:r>
      <w:r w:rsidR="001534E9">
        <w:t>çekebilecek</w:t>
      </w:r>
      <w:r w:rsidRPr="006A1CCC">
        <w:t xml:space="preserve"> başka internet sitelerine </w:t>
      </w:r>
      <w:bookmarkStart w:id="0" w:name="_GoBack"/>
      <w:bookmarkEnd w:id="0"/>
      <w:r w:rsidRPr="006A1CCC">
        <w:t>a</w:t>
      </w:r>
      <w:r w:rsidR="00D479B3">
        <w:t>it linkler bulunabilir. Boston Scientific</w:t>
      </w:r>
      <w:r w:rsidR="001534E9">
        <w:t>’nin amacı</w:t>
      </w:r>
      <w:r w:rsidRPr="006A1CCC">
        <w:t>, link verilen sitelerin güvenli internet siteleri olmasını sağlamaktır. Ancak, bu durum hiçbir şekilde link ver</w:t>
      </w:r>
      <w:r w:rsidR="001534E9">
        <w:t>ilen</w:t>
      </w:r>
      <w:r w:rsidRPr="006A1CCC">
        <w:t xml:space="preserve"> internet sitelerinin güvenli olduğu veya gizlilik standartl</w:t>
      </w:r>
      <w:r w:rsidR="001534E9">
        <w:t>arı konusunda garanti verildiği</w:t>
      </w:r>
      <w:r w:rsidRPr="006A1CCC">
        <w:t xml:space="preserve"> ve burada yer alan Gizlilik Politikası ve Kullanım Koşulları’nın, anılan sitelerde de yürürlükte olduğu anlamına ge</w:t>
      </w:r>
      <w:r w:rsidR="001534E9">
        <w:t>lmez. Bu sebeple</w:t>
      </w:r>
      <w:r w:rsidR="00D479B3">
        <w:t>, Boston Scientific</w:t>
      </w:r>
      <w:r w:rsidR="00684F62">
        <w:t>,</w:t>
      </w:r>
      <w:r w:rsidR="001534E9">
        <w:t xml:space="preserve"> link verilen</w:t>
      </w:r>
      <w:r w:rsidRPr="006A1CCC">
        <w:t xml:space="preserve"> internet sitelerinin güvenliği ve içer</w:t>
      </w:r>
      <w:r w:rsidR="001534E9">
        <w:t xml:space="preserve">iği ile ilgili olarak </w:t>
      </w:r>
      <w:r w:rsidRPr="006A1CCC">
        <w:t>kullanıcılara herhangi bir garanti</w:t>
      </w:r>
      <w:r w:rsidR="001534E9">
        <w:t xml:space="preserve"> </w:t>
      </w:r>
      <w:r w:rsidR="00684F62">
        <w:t>vermez</w:t>
      </w:r>
      <w:r w:rsidR="001534E9">
        <w:t>.</w:t>
      </w:r>
      <w:r w:rsidR="00D479B3">
        <w:t xml:space="preserve"> Boston Scientific</w:t>
      </w:r>
      <w:r w:rsidRPr="006A1CCC">
        <w:t xml:space="preserve">, </w:t>
      </w:r>
      <w:r w:rsidR="00684F62">
        <w:t>Site</w:t>
      </w:r>
      <w:r w:rsidRPr="006A1CCC">
        <w:t xml:space="preserve"> dışında diğer bir sayfaya bağlanıldığında, kişisel bilgilerin verilmesinden önce, ilgili sitenin gizlilik politikasının incelenmesi tavsiye edilmektedir.</w:t>
      </w:r>
    </w:p>
    <w:p w14:paraId="4E8484D6" w14:textId="77777777" w:rsidR="006A1CCC" w:rsidRPr="006A1CCC" w:rsidRDefault="001534E9" w:rsidP="003E26F1">
      <w:pPr>
        <w:pStyle w:val="ListParagraph"/>
        <w:numPr>
          <w:ilvl w:val="0"/>
          <w:numId w:val="2"/>
        </w:numPr>
        <w:ind w:left="284" w:hanging="284"/>
        <w:jc w:val="both"/>
      </w:pPr>
      <w:r w:rsidRPr="001534E9">
        <w:rPr>
          <w:b/>
          <w:bCs/>
        </w:rPr>
        <w:t>ÇOCUKLARIN ERİŞİMİ HAKKINDA</w:t>
      </w:r>
    </w:p>
    <w:p w14:paraId="4CE8E580" w14:textId="5B66253E" w:rsidR="006A1CCC" w:rsidRPr="006A1CCC" w:rsidRDefault="001534E9" w:rsidP="006A1CCC">
      <w:pPr>
        <w:jc w:val="both"/>
      </w:pPr>
      <w:r>
        <w:t>Bu site 18</w:t>
      </w:r>
      <w:r w:rsidR="006A1CCC" w:rsidRPr="006A1CCC">
        <w:t xml:space="preserve"> yaş altı çocuklar ve bireyler için hazırlanmamıştır.</w:t>
      </w:r>
      <w:r w:rsidR="00D479B3">
        <w:t xml:space="preserve"> Boston Scientific</w:t>
      </w:r>
      <w:r w:rsidR="00D25B92">
        <w:t>, ç</w:t>
      </w:r>
      <w:r w:rsidR="006A1CCC" w:rsidRPr="006A1CCC">
        <w:t xml:space="preserve">ocukların gizliliğinin korunmasının önemine binaen, </w:t>
      </w:r>
      <w:r>
        <w:t>18</w:t>
      </w:r>
      <w:r w:rsidR="006A1CCC" w:rsidRPr="006A1CCC">
        <w:t xml:space="preserve"> yaş altı bireylerin bilgilerini, bu yönde velilerinden alınmış net bir</w:t>
      </w:r>
      <w:r w:rsidR="00D25B92">
        <w:t xml:space="preserve"> muvafakat </w:t>
      </w:r>
      <w:r w:rsidR="006A1CCC" w:rsidRPr="006A1CCC">
        <w:t xml:space="preserve">olmadan her ne amaçla olursa olsun toplamamakta ve kullanmamaktadır. </w:t>
      </w:r>
      <w:r w:rsidR="00D25B92">
        <w:t>Velilerin</w:t>
      </w:r>
      <w:r w:rsidR="00D25B92" w:rsidRPr="006A1CCC">
        <w:t xml:space="preserve"> </w:t>
      </w:r>
      <w:r w:rsidR="006A1CCC" w:rsidRPr="006A1CCC">
        <w:t xml:space="preserve">talep etmesi halinde çocuğun sağlamış olduğu bilgileri inceleme ve/veya bunların silinmesini gerekli kılma hakkı bulunmaktadır. </w:t>
      </w:r>
      <w:r w:rsidR="00D479B3">
        <w:t>Boston Scientific</w:t>
      </w:r>
      <w:r w:rsidR="00D25B92">
        <w:t>, e</w:t>
      </w:r>
      <w:r w:rsidR="006A1CCC" w:rsidRPr="006A1CCC">
        <w:t>beveynlerin, internet kullanımı ve internet sitelerine verilen bilgilerle ilgili o</w:t>
      </w:r>
      <w:r>
        <w:t xml:space="preserve">larak çocuklarıyla konuşmaları </w:t>
      </w:r>
      <w:r w:rsidR="006A1CCC" w:rsidRPr="006A1CCC">
        <w:t xml:space="preserve">tavsiye </w:t>
      </w:r>
      <w:r w:rsidR="00D25B92">
        <w:t>etmektedir</w:t>
      </w:r>
      <w:r>
        <w:t>.</w:t>
      </w:r>
    </w:p>
    <w:p w14:paraId="1DB93E96" w14:textId="77777777" w:rsidR="006A1CCC" w:rsidRPr="006A1CCC" w:rsidRDefault="001534E9" w:rsidP="003E26F1">
      <w:pPr>
        <w:pStyle w:val="ListParagraph"/>
        <w:numPr>
          <w:ilvl w:val="0"/>
          <w:numId w:val="2"/>
        </w:numPr>
        <w:ind w:left="284" w:hanging="284"/>
        <w:jc w:val="both"/>
      </w:pPr>
      <w:r w:rsidRPr="001534E9">
        <w:rPr>
          <w:b/>
          <w:bCs/>
        </w:rPr>
        <w:t>BİZE ULAŞIN</w:t>
      </w:r>
    </w:p>
    <w:p w14:paraId="66A2C739" w14:textId="77777777" w:rsidR="00752B0D" w:rsidRDefault="001534E9" w:rsidP="00752B0D">
      <w:pPr>
        <w:jc w:val="both"/>
      </w:pPr>
      <w:r w:rsidRPr="001534E9">
        <w:t xml:space="preserve">Kullanıcılar, </w:t>
      </w:r>
      <w:r w:rsidR="00CA2F1B">
        <w:t>Gizlilik Politikası</w:t>
      </w:r>
      <w:r w:rsidR="006A1CCC" w:rsidRPr="006A1CCC">
        <w:t xml:space="preserve"> </w:t>
      </w:r>
      <w:r w:rsidR="00FF37A3">
        <w:t>ve</w:t>
      </w:r>
      <w:r w:rsidR="006A1CCC" w:rsidRPr="006A1CCC">
        <w:t xml:space="preserve"> </w:t>
      </w:r>
      <w:r w:rsidR="00FF37A3">
        <w:t xml:space="preserve">Veri Koruma Mevzuatı </w:t>
      </w:r>
      <w:r w:rsidRPr="001534E9">
        <w:t xml:space="preserve">uyarınca, </w:t>
      </w:r>
      <w:r w:rsidR="00752B0D">
        <w:t xml:space="preserve">aşağıdaki haklara sahiptir: </w:t>
      </w:r>
    </w:p>
    <w:p w14:paraId="0DC1C188" w14:textId="77777777" w:rsidR="00752B0D" w:rsidRDefault="00752B0D" w:rsidP="003E26F1">
      <w:pPr>
        <w:pStyle w:val="ListParagraph"/>
        <w:numPr>
          <w:ilvl w:val="1"/>
          <w:numId w:val="2"/>
        </w:numPr>
        <w:ind w:left="426" w:hanging="284"/>
        <w:jc w:val="both"/>
      </w:pPr>
      <w:r>
        <w:t>Kişisel veri işlenip işlenmediğini öğrenme,</w:t>
      </w:r>
    </w:p>
    <w:p w14:paraId="5D2A407E" w14:textId="77777777" w:rsidR="00752B0D" w:rsidRDefault="00752B0D" w:rsidP="003E26F1">
      <w:pPr>
        <w:pStyle w:val="ListParagraph"/>
        <w:numPr>
          <w:ilvl w:val="1"/>
          <w:numId w:val="2"/>
        </w:numPr>
        <w:ind w:left="426" w:hanging="284"/>
        <w:jc w:val="both"/>
      </w:pPr>
      <w:r>
        <w:t>Kişisel verileri işlenmişse buna ilişkin bilgi talep etme,</w:t>
      </w:r>
    </w:p>
    <w:p w14:paraId="38F9038E" w14:textId="77777777" w:rsidR="00752B0D" w:rsidRDefault="00752B0D" w:rsidP="003E26F1">
      <w:pPr>
        <w:pStyle w:val="ListParagraph"/>
        <w:numPr>
          <w:ilvl w:val="1"/>
          <w:numId w:val="2"/>
        </w:numPr>
        <w:ind w:left="426" w:hanging="284"/>
        <w:jc w:val="both"/>
      </w:pPr>
      <w:r>
        <w:t>Kişisel verilerin işlenme amacını ve bunların amacına uygun kullanılıp kullanılmadığını öğrenme,</w:t>
      </w:r>
    </w:p>
    <w:p w14:paraId="440A3A00" w14:textId="77777777" w:rsidR="00752B0D" w:rsidRDefault="00752B0D" w:rsidP="003E26F1">
      <w:pPr>
        <w:pStyle w:val="ListParagraph"/>
        <w:numPr>
          <w:ilvl w:val="1"/>
          <w:numId w:val="2"/>
        </w:numPr>
        <w:ind w:left="426" w:hanging="284"/>
        <w:jc w:val="both"/>
      </w:pPr>
      <w:r>
        <w:t>Yurt içinde veya yurt dışında kişisel verilerin aktarıldığı üçüncü kişileri bilme,</w:t>
      </w:r>
    </w:p>
    <w:p w14:paraId="575FDC8D" w14:textId="77777777" w:rsidR="00752B0D" w:rsidRDefault="00752B0D" w:rsidP="003E26F1">
      <w:pPr>
        <w:pStyle w:val="ListParagraph"/>
        <w:numPr>
          <w:ilvl w:val="1"/>
          <w:numId w:val="2"/>
        </w:numPr>
        <w:ind w:left="426" w:hanging="284"/>
        <w:jc w:val="both"/>
      </w:pPr>
      <w:r>
        <w:t>Kişisel verilerin eksik veya yanlış işlenmiş olması hâlinde bunların düzeltilmesini isteme,</w:t>
      </w:r>
    </w:p>
    <w:p w14:paraId="139D032A" w14:textId="77777777" w:rsidR="00752B0D" w:rsidRDefault="00752B0D" w:rsidP="003E26F1">
      <w:pPr>
        <w:pStyle w:val="ListParagraph"/>
        <w:numPr>
          <w:ilvl w:val="1"/>
          <w:numId w:val="2"/>
        </w:numPr>
        <w:ind w:left="426" w:hanging="284"/>
        <w:jc w:val="both"/>
      </w:pPr>
      <w:r>
        <w:t>Kişisel verilerin silinmesini veya yok edilmesini isteme,</w:t>
      </w:r>
    </w:p>
    <w:p w14:paraId="098F11FE" w14:textId="3E609F31" w:rsidR="00752B0D" w:rsidRDefault="00752B0D" w:rsidP="003E26F1">
      <w:pPr>
        <w:pStyle w:val="ListParagraph"/>
        <w:numPr>
          <w:ilvl w:val="1"/>
          <w:numId w:val="2"/>
        </w:numPr>
        <w:ind w:left="426" w:hanging="284"/>
        <w:jc w:val="both"/>
      </w:pPr>
      <w:r>
        <w:t>(</w:t>
      </w:r>
      <w:r w:rsidR="00B83FB8">
        <w:t>e</w:t>
      </w:r>
      <w:r>
        <w:t>) ve (</w:t>
      </w:r>
      <w:r w:rsidR="00B83FB8">
        <w:t>f</w:t>
      </w:r>
      <w:r>
        <w:t>) bentleri uyarınca yapılan işlemlerin, kişisel verilerin aktarıldığı üçüncü kişilere bildirilmesini isteme,</w:t>
      </w:r>
    </w:p>
    <w:p w14:paraId="50B1E56F" w14:textId="77777777" w:rsidR="00752B0D" w:rsidRDefault="00752B0D" w:rsidP="003E26F1">
      <w:pPr>
        <w:pStyle w:val="ListParagraph"/>
        <w:numPr>
          <w:ilvl w:val="1"/>
          <w:numId w:val="2"/>
        </w:numPr>
        <w:ind w:left="426" w:hanging="284"/>
        <w:jc w:val="both"/>
      </w:pPr>
      <w:r>
        <w:t>İşlenen verilerin münhasıran otomatik sistemler vasıtasıyla analiz edilmesi suretiyle kişinin kendisi aleyhine bir sonucun ortaya çıkmasına itiraz etme,</w:t>
      </w:r>
    </w:p>
    <w:p w14:paraId="53BBBAF3" w14:textId="77777777" w:rsidR="00752B0D" w:rsidRDefault="00752B0D" w:rsidP="003E26F1">
      <w:pPr>
        <w:pStyle w:val="ListParagraph"/>
        <w:numPr>
          <w:ilvl w:val="1"/>
          <w:numId w:val="2"/>
        </w:numPr>
        <w:ind w:left="426" w:hanging="284"/>
        <w:jc w:val="both"/>
      </w:pPr>
      <w:r>
        <w:t>Kişisel verilerin kanuna aykırı olarak işlenmesi sebebiyle zarara uğraması hâlinde zararın giderilmesini talep etme.</w:t>
      </w:r>
    </w:p>
    <w:p w14:paraId="217443FE" w14:textId="4AA2469F" w:rsidR="00B01FB4" w:rsidRDefault="001534E9" w:rsidP="006A1CCC">
      <w:pPr>
        <w:jc w:val="both"/>
      </w:pPr>
      <w:r w:rsidRPr="001534E9">
        <w:lastRenderedPageBreak/>
        <w:t xml:space="preserve">Kullanıcılar, kişisel verilerine ilişkin her </w:t>
      </w:r>
      <w:r w:rsidR="00D479B3">
        <w:t>türlü soru ve talepleri için, Boston Scientific</w:t>
      </w:r>
      <w:r w:rsidRPr="001534E9">
        <w:t xml:space="preserve">’e </w:t>
      </w:r>
      <w:hyperlink r:id="rId5" w:history="1">
        <w:r w:rsidR="001E2B81" w:rsidRPr="00371825">
          <w:rPr>
            <w:rStyle w:val="Hyperlink"/>
          </w:rPr>
          <w:t>KVKKProjectTeam@bsci.com</w:t>
        </w:r>
      </w:hyperlink>
      <w:r w:rsidR="001E2B81">
        <w:rPr>
          <w:rStyle w:val="Hyperlink"/>
        </w:rPr>
        <w:t xml:space="preserve"> </w:t>
      </w:r>
      <w:r w:rsidRPr="001534E9">
        <w:t>üzerinden ulaşabilirler.</w:t>
      </w:r>
      <w:r w:rsidR="00B01FB4">
        <w:t xml:space="preserve"> </w:t>
      </w:r>
    </w:p>
    <w:p w14:paraId="69F9A0BB" w14:textId="77777777" w:rsidR="00BF5989" w:rsidRDefault="00BF5989" w:rsidP="006A1CCC">
      <w:pPr>
        <w:jc w:val="both"/>
      </w:pPr>
      <w:r w:rsidRPr="00712513">
        <w:t>Ayrıca bize yaptığınız başvurunun 30 gün içerisinde sonuçlandırılmaması halinde yetkili otoriteye şikâyette bulunmaya hakkınız vardır. Türkiye’de kişisel verilerin korunması konusunda yetkili otorite Kişisel Verileri Koruma Kurumu’dur. Verilerinizin işlenmesinin hukuka uygunluğu hakkında kuşkularınız varsa, bu durumu aydınlatabilmemiz için lütfen bize haber verin.</w:t>
      </w:r>
    </w:p>
    <w:p w14:paraId="289812BB" w14:textId="417C2300" w:rsidR="006A1CCC" w:rsidRPr="006A1CCC" w:rsidRDefault="006A1CCC" w:rsidP="006A1CCC">
      <w:pPr>
        <w:jc w:val="both"/>
      </w:pPr>
      <w:r w:rsidRPr="006A1CCC">
        <w:t xml:space="preserve">Yasaların gerektirdiği yerler dışında </w:t>
      </w:r>
      <w:r w:rsidR="00D479B3">
        <w:t>Boston Scientific</w:t>
      </w:r>
      <w:r w:rsidRPr="006A1CCC">
        <w:t>, bu politika ve gizlilik uygulamaları ile ilgisi olmayan sorulara veya yorumlara cevap verileceğini garanti etmemektedir.</w:t>
      </w:r>
      <w:r w:rsidR="00587DDB">
        <w:t xml:space="preserve"> </w:t>
      </w:r>
      <w:r w:rsidRPr="006A1CCC">
        <w:t>İnternetin sürekli gelişimi</w:t>
      </w:r>
      <w:r w:rsidR="00054AAC">
        <w:t xml:space="preserve"> ve ilgili </w:t>
      </w:r>
      <w:r w:rsidR="00D479B3">
        <w:t>Veri Koruma Mevzuatı</w:t>
      </w:r>
      <w:r w:rsidR="00054AAC">
        <w:t xml:space="preserve"> değişiklikleri</w:t>
      </w:r>
      <w:r w:rsidRPr="006A1CCC">
        <w:t xml:space="preserve"> gizlilik beyanımızda değişiklik yap</w:t>
      </w:r>
      <w:r w:rsidR="001534E9">
        <w:t>ılmasını</w:t>
      </w:r>
      <w:r w:rsidRPr="006A1CCC">
        <w:t xml:space="preserve"> </w:t>
      </w:r>
      <w:r w:rsidR="00587DDB">
        <w:t>gerektirebilmektedir</w:t>
      </w:r>
      <w:r w:rsidRPr="006A1CCC">
        <w:t xml:space="preserve">. Gerektiğinde </w:t>
      </w:r>
      <w:r w:rsidR="00D479B3">
        <w:t>Boston Scientfic</w:t>
      </w:r>
      <w:r w:rsidR="001534E9">
        <w:t>’in</w:t>
      </w:r>
      <w:r w:rsidR="00587DDB">
        <w:t>, Gizlilik Politikası’nda</w:t>
      </w:r>
      <w:r w:rsidR="001534E9">
        <w:t xml:space="preserve"> değişiklik yapma hakkı</w:t>
      </w:r>
      <w:r w:rsidRPr="006A1CCC">
        <w:t xml:space="preserve"> saklıdır.</w:t>
      </w:r>
      <w:r w:rsidR="00DB0CEC" w:rsidRPr="00DB0CEC">
        <w:t xml:space="preserve"> En son değişiklikler veya güncellemelerden haberdar olmak için, web sitemizi kullanmadan önce lütfen </w:t>
      </w:r>
      <w:r w:rsidR="00DB0CEC">
        <w:t>Gizlilik</w:t>
      </w:r>
      <w:r w:rsidR="00DB0CEC" w:rsidRPr="00DB0CEC">
        <w:t xml:space="preserve"> Politikası</w:t>
      </w:r>
      <w:r w:rsidR="00BF5989">
        <w:t>’</w:t>
      </w:r>
      <w:r w:rsidR="00DB0CEC" w:rsidRPr="00DB0CEC">
        <w:t>nı inceleyiniz.</w:t>
      </w:r>
    </w:p>
    <w:p w14:paraId="6D135FE1" w14:textId="77777777" w:rsidR="00FF501F" w:rsidRDefault="00FF501F" w:rsidP="006A1CCC">
      <w:pPr>
        <w:jc w:val="both"/>
      </w:pPr>
    </w:p>
    <w:sectPr w:rsidR="00FF5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3EC"/>
    <w:multiLevelType w:val="hybridMultilevel"/>
    <w:tmpl w:val="C2FAA93E"/>
    <w:lvl w:ilvl="0" w:tplc="B538CCF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B30D3E"/>
    <w:multiLevelType w:val="hybridMultilevel"/>
    <w:tmpl w:val="012E94F8"/>
    <w:lvl w:ilvl="0" w:tplc="1442A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6CF6"/>
    <w:multiLevelType w:val="multilevel"/>
    <w:tmpl w:val="ABA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77BF4"/>
    <w:multiLevelType w:val="hybridMultilevel"/>
    <w:tmpl w:val="28083F2A"/>
    <w:lvl w:ilvl="0" w:tplc="7E0291C0">
      <w:start w:val="1"/>
      <w:numFmt w:val="decimal"/>
      <w:lvlText w:val="%1."/>
      <w:lvlJc w:val="left"/>
      <w:pPr>
        <w:ind w:left="720" w:hanging="360"/>
      </w:pPr>
      <w:rPr>
        <w:rFonts w:hint="default"/>
        <w:b/>
      </w:rPr>
    </w:lvl>
    <w:lvl w:ilvl="1" w:tplc="959299D8">
      <w:start w:val="1"/>
      <w:numFmt w:val="lowerLetter"/>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2B70E9"/>
    <w:multiLevelType w:val="multilevel"/>
    <w:tmpl w:val="F4B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C409D"/>
    <w:multiLevelType w:val="hybridMultilevel"/>
    <w:tmpl w:val="6AD4C082"/>
    <w:lvl w:ilvl="0" w:tplc="F6E8AB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84360B"/>
    <w:multiLevelType w:val="hybridMultilevel"/>
    <w:tmpl w:val="178A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1E"/>
    <w:rsid w:val="000124C2"/>
    <w:rsid w:val="00043E19"/>
    <w:rsid w:val="00054AAC"/>
    <w:rsid w:val="000F485D"/>
    <w:rsid w:val="001110C6"/>
    <w:rsid w:val="001150E0"/>
    <w:rsid w:val="001534E9"/>
    <w:rsid w:val="001635C3"/>
    <w:rsid w:val="001A3209"/>
    <w:rsid w:val="001B1A39"/>
    <w:rsid w:val="001E2B81"/>
    <w:rsid w:val="00224D47"/>
    <w:rsid w:val="00266A6F"/>
    <w:rsid w:val="002B47F4"/>
    <w:rsid w:val="002E1F91"/>
    <w:rsid w:val="00300A9C"/>
    <w:rsid w:val="003B19F6"/>
    <w:rsid w:val="003C66E0"/>
    <w:rsid w:val="003E26F1"/>
    <w:rsid w:val="003E6A66"/>
    <w:rsid w:val="00412B91"/>
    <w:rsid w:val="004D3799"/>
    <w:rsid w:val="00502E6C"/>
    <w:rsid w:val="00517F9C"/>
    <w:rsid w:val="00587DDB"/>
    <w:rsid w:val="005A4028"/>
    <w:rsid w:val="005C0647"/>
    <w:rsid w:val="005E1F84"/>
    <w:rsid w:val="00606F3C"/>
    <w:rsid w:val="00670C87"/>
    <w:rsid w:val="00684F62"/>
    <w:rsid w:val="006A1CCC"/>
    <w:rsid w:val="006B71D4"/>
    <w:rsid w:val="00712513"/>
    <w:rsid w:val="00752B0D"/>
    <w:rsid w:val="00776908"/>
    <w:rsid w:val="00780FAC"/>
    <w:rsid w:val="00782197"/>
    <w:rsid w:val="007855CC"/>
    <w:rsid w:val="007D691E"/>
    <w:rsid w:val="0081313F"/>
    <w:rsid w:val="008667CC"/>
    <w:rsid w:val="008A360E"/>
    <w:rsid w:val="00905118"/>
    <w:rsid w:val="009246A4"/>
    <w:rsid w:val="00926BED"/>
    <w:rsid w:val="00972279"/>
    <w:rsid w:val="00A25646"/>
    <w:rsid w:val="00A3214B"/>
    <w:rsid w:val="00A468AB"/>
    <w:rsid w:val="00AA75A7"/>
    <w:rsid w:val="00AF43AA"/>
    <w:rsid w:val="00B01FB4"/>
    <w:rsid w:val="00B04C2A"/>
    <w:rsid w:val="00B372E2"/>
    <w:rsid w:val="00B53360"/>
    <w:rsid w:val="00B83FB8"/>
    <w:rsid w:val="00BF5989"/>
    <w:rsid w:val="00C01C5D"/>
    <w:rsid w:val="00C63933"/>
    <w:rsid w:val="00C76182"/>
    <w:rsid w:val="00CA2F1B"/>
    <w:rsid w:val="00CB4A89"/>
    <w:rsid w:val="00CE1C48"/>
    <w:rsid w:val="00D133FE"/>
    <w:rsid w:val="00D20A83"/>
    <w:rsid w:val="00D25B92"/>
    <w:rsid w:val="00D479B3"/>
    <w:rsid w:val="00DB0CEC"/>
    <w:rsid w:val="00DC41E0"/>
    <w:rsid w:val="00DD4846"/>
    <w:rsid w:val="00E247B8"/>
    <w:rsid w:val="00ED6B18"/>
    <w:rsid w:val="00F07EB9"/>
    <w:rsid w:val="00F16856"/>
    <w:rsid w:val="00F75D63"/>
    <w:rsid w:val="00FA1CBE"/>
    <w:rsid w:val="00FF37A3"/>
    <w:rsid w:val="00FF5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6E6C"/>
  <w15:chartTrackingRefBased/>
  <w15:docId w15:val="{9E030C79-3A8C-43B2-B559-0C2888D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CC"/>
    <w:rPr>
      <w:color w:val="0563C1" w:themeColor="hyperlink"/>
      <w:u w:val="single"/>
    </w:rPr>
  </w:style>
  <w:style w:type="paragraph" w:styleId="ListParagraph">
    <w:name w:val="List Paragraph"/>
    <w:basedOn w:val="Normal"/>
    <w:uiPriority w:val="34"/>
    <w:qFormat/>
    <w:rsid w:val="00A25646"/>
    <w:pPr>
      <w:ind w:left="720"/>
      <w:contextualSpacing/>
    </w:pPr>
  </w:style>
  <w:style w:type="paragraph" w:styleId="BalloonText">
    <w:name w:val="Balloon Text"/>
    <w:basedOn w:val="Normal"/>
    <w:link w:val="BalloonTextChar"/>
    <w:uiPriority w:val="99"/>
    <w:semiHidden/>
    <w:unhideWhenUsed/>
    <w:rsid w:val="005C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47"/>
    <w:rPr>
      <w:rFonts w:ascii="Segoe UI" w:hAnsi="Segoe UI" w:cs="Segoe UI"/>
      <w:sz w:val="18"/>
      <w:szCs w:val="18"/>
    </w:rPr>
  </w:style>
  <w:style w:type="character" w:styleId="CommentReference">
    <w:name w:val="annotation reference"/>
    <w:basedOn w:val="DefaultParagraphFont"/>
    <w:uiPriority w:val="99"/>
    <w:semiHidden/>
    <w:unhideWhenUsed/>
    <w:rsid w:val="00DB0CEC"/>
    <w:rPr>
      <w:sz w:val="16"/>
      <w:szCs w:val="16"/>
    </w:rPr>
  </w:style>
  <w:style w:type="paragraph" w:styleId="CommentText">
    <w:name w:val="annotation text"/>
    <w:basedOn w:val="Normal"/>
    <w:link w:val="CommentTextChar"/>
    <w:uiPriority w:val="99"/>
    <w:semiHidden/>
    <w:unhideWhenUsed/>
    <w:rsid w:val="00DB0CEC"/>
    <w:pPr>
      <w:spacing w:line="240" w:lineRule="auto"/>
    </w:pPr>
    <w:rPr>
      <w:sz w:val="20"/>
      <w:szCs w:val="20"/>
    </w:rPr>
  </w:style>
  <w:style w:type="character" w:customStyle="1" w:styleId="CommentTextChar">
    <w:name w:val="Comment Text Char"/>
    <w:basedOn w:val="DefaultParagraphFont"/>
    <w:link w:val="CommentText"/>
    <w:uiPriority w:val="99"/>
    <w:semiHidden/>
    <w:rsid w:val="00DB0CEC"/>
    <w:rPr>
      <w:sz w:val="20"/>
      <w:szCs w:val="20"/>
    </w:rPr>
  </w:style>
  <w:style w:type="paragraph" w:styleId="CommentSubject">
    <w:name w:val="annotation subject"/>
    <w:basedOn w:val="CommentText"/>
    <w:next w:val="CommentText"/>
    <w:link w:val="CommentSubjectChar"/>
    <w:uiPriority w:val="99"/>
    <w:semiHidden/>
    <w:unhideWhenUsed/>
    <w:rsid w:val="00DB0CEC"/>
    <w:rPr>
      <w:b/>
      <w:bCs/>
    </w:rPr>
  </w:style>
  <w:style w:type="character" w:customStyle="1" w:styleId="CommentSubjectChar">
    <w:name w:val="Comment Subject Char"/>
    <w:basedOn w:val="CommentTextChar"/>
    <w:link w:val="CommentSubject"/>
    <w:uiPriority w:val="99"/>
    <w:semiHidden/>
    <w:rsid w:val="00DB0CEC"/>
    <w:rPr>
      <w:b/>
      <w:bCs/>
      <w:sz w:val="20"/>
      <w:szCs w:val="20"/>
    </w:rPr>
  </w:style>
  <w:style w:type="character" w:styleId="UnresolvedMention">
    <w:name w:val="Unresolved Mention"/>
    <w:basedOn w:val="DefaultParagraphFont"/>
    <w:uiPriority w:val="99"/>
    <w:semiHidden/>
    <w:unhideWhenUsed/>
    <w:rsid w:val="001E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3249">
      <w:bodyDiv w:val="1"/>
      <w:marLeft w:val="0"/>
      <w:marRight w:val="0"/>
      <w:marTop w:val="0"/>
      <w:marBottom w:val="0"/>
      <w:divBdr>
        <w:top w:val="none" w:sz="0" w:space="0" w:color="auto"/>
        <w:left w:val="none" w:sz="0" w:space="0" w:color="auto"/>
        <w:bottom w:val="none" w:sz="0" w:space="0" w:color="auto"/>
        <w:right w:val="none" w:sz="0" w:space="0" w:color="auto"/>
      </w:divBdr>
    </w:div>
    <w:div w:id="503980698">
      <w:bodyDiv w:val="1"/>
      <w:marLeft w:val="0"/>
      <w:marRight w:val="0"/>
      <w:marTop w:val="0"/>
      <w:marBottom w:val="0"/>
      <w:divBdr>
        <w:top w:val="none" w:sz="0" w:space="0" w:color="auto"/>
        <w:left w:val="none" w:sz="0" w:space="0" w:color="auto"/>
        <w:bottom w:val="none" w:sz="0" w:space="0" w:color="auto"/>
        <w:right w:val="none" w:sz="0" w:space="0" w:color="auto"/>
      </w:divBdr>
    </w:div>
    <w:div w:id="963998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6251">
          <w:marLeft w:val="0"/>
          <w:marRight w:val="0"/>
          <w:marTop w:val="0"/>
          <w:marBottom w:val="0"/>
          <w:divBdr>
            <w:top w:val="none" w:sz="0" w:space="0" w:color="auto"/>
            <w:left w:val="none" w:sz="0" w:space="0" w:color="auto"/>
            <w:bottom w:val="single" w:sz="6" w:space="11" w:color="E5E5E5"/>
            <w:right w:val="none" w:sz="0" w:space="0" w:color="auto"/>
          </w:divBdr>
        </w:div>
        <w:div w:id="1110777259">
          <w:marLeft w:val="0"/>
          <w:marRight w:val="0"/>
          <w:marTop w:val="0"/>
          <w:marBottom w:val="0"/>
          <w:divBdr>
            <w:top w:val="none" w:sz="0" w:space="0" w:color="auto"/>
            <w:left w:val="none" w:sz="0" w:space="0" w:color="auto"/>
            <w:bottom w:val="none" w:sz="0" w:space="0" w:color="auto"/>
            <w:right w:val="none" w:sz="0" w:space="0" w:color="auto"/>
          </w:divBdr>
        </w:div>
      </w:divsChild>
    </w:div>
    <w:div w:id="1255624643">
      <w:bodyDiv w:val="1"/>
      <w:marLeft w:val="0"/>
      <w:marRight w:val="0"/>
      <w:marTop w:val="0"/>
      <w:marBottom w:val="0"/>
      <w:divBdr>
        <w:top w:val="none" w:sz="0" w:space="0" w:color="auto"/>
        <w:left w:val="none" w:sz="0" w:space="0" w:color="auto"/>
        <w:bottom w:val="none" w:sz="0" w:space="0" w:color="auto"/>
        <w:right w:val="none" w:sz="0" w:space="0" w:color="auto"/>
      </w:divBdr>
    </w:div>
    <w:div w:id="13109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ProjectTeam@bsc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1674</Words>
  <Characters>9544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Akpinar, Nihat</cp:lastModifiedBy>
  <cp:revision>4</cp:revision>
  <dcterms:created xsi:type="dcterms:W3CDTF">2019-11-30T20:01:00Z</dcterms:created>
  <dcterms:modified xsi:type="dcterms:W3CDTF">2020-01-15T10:51:00Z</dcterms:modified>
</cp:coreProperties>
</file>