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C340F" w14:textId="721D95AA" w:rsidR="002B7D8A" w:rsidRPr="00882DB1" w:rsidRDefault="00030034" w:rsidP="003626B1">
      <w:pPr>
        <w:spacing w:before="120" w:after="120" w:line="360" w:lineRule="auto"/>
        <w:jc w:val="center"/>
        <w:rPr>
          <w:rFonts w:cstheme="minorHAnsi"/>
          <w:b/>
          <w:sz w:val="24"/>
          <w:lang w:val="tr-TR"/>
        </w:rPr>
      </w:pPr>
      <w:r w:rsidRPr="00882DB1">
        <w:rPr>
          <w:rFonts w:cstheme="minorHAnsi"/>
          <w:b/>
          <w:sz w:val="24"/>
          <w:lang w:val="tr-TR"/>
        </w:rPr>
        <w:t xml:space="preserve">Kişisel </w:t>
      </w:r>
      <w:r w:rsidR="00F14ED3" w:rsidRPr="00882DB1">
        <w:rPr>
          <w:rFonts w:cstheme="minorHAnsi"/>
          <w:b/>
          <w:sz w:val="24"/>
          <w:lang w:val="tr-TR"/>
        </w:rPr>
        <w:t>Veri</w:t>
      </w:r>
      <w:r w:rsidRPr="00882DB1">
        <w:rPr>
          <w:rFonts w:cstheme="minorHAnsi"/>
          <w:b/>
          <w:sz w:val="24"/>
          <w:lang w:val="tr-TR"/>
        </w:rPr>
        <w:t xml:space="preserve"> Koruma </w:t>
      </w:r>
      <w:r w:rsidR="00882DB1">
        <w:rPr>
          <w:rFonts w:cstheme="minorHAnsi"/>
          <w:b/>
          <w:sz w:val="24"/>
          <w:lang w:val="tr-TR"/>
        </w:rPr>
        <w:t>Protokolü</w:t>
      </w:r>
    </w:p>
    <w:p w14:paraId="703E7C0B" w14:textId="55776732" w:rsidR="005B4992" w:rsidRPr="00882DB1" w:rsidRDefault="00C46FB1" w:rsidP="003626B1">
      <w:pPr>
        <w:spacing w:before="120" w:after="120" w:line="360" w:lineRule="auto"/>
        <w:jc w:val="both"/>
        <w:rPr>
          <w:rFonts w:cstheme="minorHAnsi"/>
          <w:lang w:val="tr-TR"/>
        </w:rPr>
      </w:pPr>
      <w:r w:rsidRPr="00882DB1">
        <w:rPr>
          <w:rFonts w:cstheme="minorHAnsi"/>
          <w:lang w:val="tr-TR"/>
        </w:rPr>
        <w:t xml:space="preserve">Türkiye’de 7 Nisan 2016 tarihinde Resmi Gazete’de yayımlanarak yürürlüğe giren 6698 sayılı Kişisel Verilerin Korunması Kanunu ( Bundan böyle </w:t>
      </w:r>
      <w:r w:rsidRPr="00882DB1">
        <w:rPr>
          <w:rFonts w:cstheme="minorHAnsi"/>
          <w:b/>
          <w:lang w:val="tr-TR"/>
        </w:rPr>
        <w:t>“KVKK”</w:t>
      </w:r>
      <w:r w:rsidRPr="00882DB1">
        <w:rPr>
          <w:rFonts w:cstheme="minorHAnsi"/>
          <w:lang w:val="tr-TR"/>
        </w:rPr>
        <w:t xml:space="preserve"> olarak anılacaktır.) ve hukuki dayanağını ondan alan ikincil mevzuat ile birlikte Kişisel Verileri Koruma Kuru</w:t>
      </w:r>
      <w:r w:rsidR="00AE373E" w:rsidRPr="00882DB1">
        <w:rPr>
          <w:rFonts w:cstheme="minorHAnsi"/>
          <w:lang w:val="tr-TR"/>
        </w:rPr>
        <w:t>lu (</w:t>
      </w:r>
      <w:r w:rsidRPr="00882DB1">
        <w:rPr>
          <w:rFonts w:cstheme="minorHAnsi"/>
          <w:lang w:val="tr-TR"/>
        </w:rPr>
        <w:t xml:space="preserve">Bundan böyle </w:t>
      </w:r>
      <w:r w:rsidRPr="00882DB1">
        <w:rPr>
          <w:rFonts w:cstheme="minorHAnsi"/>
          <w:b/>
          <w:lang w:val="tr-TR"/>
        </w:rPr>
        <w:t>“Kurul”</w:t>
      </w:r>
      <w:r w:rsidRPr="00882DB1">
        <w:rPr>
          <w:rFonts w:cstheme="minorHAnsi"/>
          <w:lang w:val="tr-TR"/>
        </w:rPr>
        <w:t xml:space="preserve"> olarak anılacaktır.) kararları (Hepsi birlikte bundan böyle </w:t>
      </w:r>
      <w:r w:rsidRPr="00882DB1">
        <w:rPr>
          <w:rFonts w:cstheme="minorHAnsi"/>
          <w:b/>
          <w:lang w:val="tr-TR"/>
        </w:rPr>
        <w:t>“Veri Koruma Mevzuatı”</w:t>
      </w:r>
      <w:r w:rsidRPr="00882DB1">
        <w:rPr>
          <w:rFonts w:cstheme="minorHAnsi"/>
          <w:lang w:val="tr-TR"/>
        </w:rPr>
        <w:t xml:space="preserve"> olarak anılacaktır.) uyarınca</w:t>
      </w:r>
      <w:r w:rsidR="00CD2F49" w:rsidRPr="00882DB1">
        <w:rPr>
          <w:rFonts w:cstheme="minorHAnsi"/>
          <w:lang w:val="tr-TR"/>
        </w:rPr>
        <w:t xml:space="preserve"> kişisel</w:t>
      </w:r>
      <w:r w:rsidR="00971C74" w:rsidRPr="00882DB1">
        <w:rPr>
          <w:rFonts w:cstheme="minorHAnsi"/>
          <w:lang w:val="tr-TR"/>
        </w:rPr>
        <w:t xml:space="preserve"> veri koruma ile ilgili şartlar ye</w:t>
      </w:r>
      <w:r w:rsidR="00FD53D0" w:rsidRPr="00882DB1">
        <w:rPr>
          <w:rFonts w:cstheme="minorHAnsi"/>
          <w:lang w:val="tr-TR"/>
        </w:rPr>
        <w:t>niden uyarlanmış ve daha da sıkı</w:t>
      </w:r>
      <w:r w:rsidR="00971C74" w:rsidRPr="00882DB1">
        <w:rPr>
          <w:rFonts w:cstheme="minorHAnsi"/>
          <w:lang w:val="tr-TR"/>
        </w:rPr>
        <w:t>laştırılmıştır</w:t>
      </w:r>
      <w:r w:rsidR="00FD53D0" w:rsidRPr="00882DB1">
        <w:rPr>
          <w:rFonts w:cstheme="minorHAnsi"/>
          <w:lang w:val="tr-TR"/>
        </w:rPr>
        <w:t>.</w:t>
      </w:r>
    </w:p>
    <w:p w14:paraId="2829AE14" w14:textId="774141EF" w:rsidR="005B4992" w:rsidRPr="00882DB1" w:rsidRDefault="00CD2F49" w:rsidP="003626B1">
      <w:pPr>
        <w:spacing w:before="120" w:after="120" w:line="360" w:lineRule="auto"/>
        <w:jc w:val="both"/>
        <w:rPr>
          <w:rFonts w:cstheme="minorHAnsi"/>
          <w:lang w:val="tr-TR"/>
        </w:rPr>
      </w:pPr>
      <w:r w:rsidRPr="00882DB1">
        <w:rPr>
          <w:rFonts w:cstheme="minorHAnsi"/>
          <w:lang w:val="tr-TR"/>
        </w:rPr>
        <w:t xml:space="preserve">İşbu kişisel veri koruma </w:t>
      </w:r>
      <w:r w:rsidR="00F941A4">
        <w:rPr>
          <w:rFonts w:cstheme="minorHAnsi"/>
          <w:lang w:val="tr-TR"/>
        </w:rPr>
        <w:t xml:space="preserve">protokolü </w:t>
      </w:r>
      <w:r w:rsidRPr="00882DB1">
        <w:rPr>
          <w:rFonts w:cstheme="minorHAnsi"/>
          <w:lang w:val="tr-TR"/>
        </w:rPr>
        <w:t>(</w:t>
      </w:r>
      <w:r w:rsidRPr="00882DB1">
        <w:rPr>
          <w:rFonts w:cstheme="minorHAnsi"/>
          <w:b/>
          <w:lang w:val="tr-TR"/>
        </w:rPr>
        <w:t>“</w:t>
      </w:r>
      <w:r w:rsidR="00F941A4">
        <w:rPr>
          <w:rFonts w:cstheme="minorHAnsi"/>
          <w:b/>
          <w:lang w:val="tr-TR"/>
        </w:rPr>
        <w:t>Protokol</w:t>
      </w:r>
      <w:r w:rsidRPr="00882DB1">
        <w:rPr>
          <w:rFonts w:cstheme="minorHAnsi"/>
          <w:b/>
          <w:lang w:val="tr-TR"/>
        </w:rPr>
        <w:t>”</w:t>
      </w:r>
      <w:r w:rsidRPr="00882DB1">
        <w:rPr>
          <w:rFonts w:cstheme="minorHAnsi"/>
          <w:lang w:val="tr-TR"/>
        </w:rPr>
        <w:t>),</w:t>
      </w:r>
      <w:r w:rsidR="00FD53D0" w:rsidRPr="00882DB1">
        <w:rPr>
          <w:rFonts w:cstheme="minorHAnsi"/>
          <w:lang w:val="tr-TR"/>
        </w:rPr>
        <w:t xml:space="preserve"> </w:t>
      </w:r>
      <w:r w:rsidR="00A612B4">
        <w:rPr>
          <w:rFonts w:cstheme="minorHAnsi"/>
          <w:lang w:val="tr-TR"/>
        </w:rPr>
        <w:t>Boston Scientific</w:t>
      </w:r>
      <w:bookmarkStart w:id="0" w:name="_GoBack"/>
      <w:bookmarkEnd w:id="0"/>
      <w:r w:rsidR="00A612B4">
        <w:rPr>
          <w:rFonts w:cstheme="minorHAnsi"/>
          <w:lang w:val="tr-TR"/>
        </w:rPr>
        <w:t xml:space="preserve"> Tıp Gereçleri Ltd. Şti.</w:t>
      </w:r>
      <w:r w:rsidRPr="00882DB1">
        <w:rPr>
          <w:rFonts w:cstheme="minorHAnsi"/>
          <w:lang w:val="tr-TR"/>
        </w:rPr>
        <w:t xml:space="preserve"> (</w:t>
      </w:r>
      <w:r w:rsidRPr="00882DB1">
        <w:rPr>
          <w:rFonts w:cstheme="minorHAnsi"/>
          <w:b/>
          <w:lang w:val="tr-TR"/>
        </w:rPr>
        <w:t>“Veri Sorumlusu”</w:t>
      </w:r>
      <w:r w:rsidRPr="00882DB1">
        <w:rPr>
          <w:rFonts w:cstheme="minorHAnsi"/>
          <w:lang w:val="tr-TR"/>
        </w:rPr>
        <w:t xml:space="preserve">) ile </w:t>
      </w:r>
      <w:r w:rsidRPr="002D2ABF">
        <w:rPr>
          <w:rFonts w:cstheme="minorHAnsi"/>
          <w:highlight w:val="yellow"/>
          <w:lang w:val="tr-TR"/>
        </w:rPr>
        <w:t>……………………………..</w:t>
      </w:r>
      <w:r w:rsidRPr="00882DB1">
        <w:rPr>
          <w:rFonts w:cstheme="minorHAnsi"/>
          <w:lang w:val="tr-TR"/>
        </w:rPr>
        <w:t xml:space="preserve"> (</w:t>
      </w:r>
      <w:r w:rsidRPr="00882DB1">
        <w:rPr>
          <w:rFonts w:cstheme="minorHAnsi"/>
          <w:b/>
          <w:lang w:val="tr-TR"/>
        </w:rPr>
        <w:t>“Veri İşleyen”</w:t>
      </w:r>
      <w:r w:rsidRPr="00882DB1">
        <w:rPr>
          <w:rFonts w:cstheme="minorHAnsi"/>
          <w:lang w:val="tr-TR"/>
        </w:rPr>
        <w:t>) arasında Veri Koruma Mevzuatı uyarınca imzalanmıştır.</w:t>
      </w:r>
      <w:r w:rsidR="00A10CF9" w:rsidRPr="00882DB1">
        <w:rPr>
          <w:rFonts w:cstheme="minorHAnsi"/>
          <w:lang w:val="tr-TR"/>
        </w:rPr>
        <w:t xml:space="preserve"> </w:t>
      </w:r>
      <w:r w:rsidR="00C46FB1" w:rsidRPr="00882DB1">
        <w:rPr>
          <w:rFonts w:cstheme="minorHAnsi"/>
          <w:lang w:val="tr-TR"/>
        </w:rPr>
        <w:t xml:space="preserve">Veri Koruma Mevzuatı’na </w:t>
      </w:r>
      <w:r w:rsidR="00971C74" w:rsidRPr="00882DB1">
        <w:rPr>
          <w:rFonts w:cstheme="minorHAnsi"/>
          <w:lang w:val="tr-TR"/>
        </w:rPr>
        <w:t xml:space="preserve">uyulması ve </w:t>
      </w:r>
      <w:r w:rsidRPr="00882DB1">
        <w:rPr>
          <w:rFonts w:cstheme="minorHAnsi"/>
          <w:lang w:val="tr-TR"/>
        </w:rPr>
        <w:t xml:space="preserve">işbu </w:t>
      </w:r>
      <w:r w:rsidR="00F941A4">
        <w:rPr>
          <w:rFonts w:cstheme="minorHAnsi"/>
          <w:lang w:val="tr-TR"/>
        </w:rPr>
        <w:t>Protokole</w:t>
      </w:r>
      <w:r w:rsidRPr="00882DB1">
        <w:rPr>
          <w:rFonts w:cstheme="minorHAnsi"/>
          <w:lang w:val="tr-TR"/>
        </w:rPr>
        <w:t xml:space="preserve"> konu</w:t>
      </w:r>
      <w:r w:rsidR="00971C74" w:rsidRPr="00882DB1">
        <w:rPr>
          <w:rFonts w:cstheme="minorHAnsi"/>
          <w:lang w:val="tr-TR"/>
        </w:rPr>
        <w:t xml:space="preserve"> </w:t>
      </w:r>
      <w:r w:rsidR="00076E3F" w:rsidRPr="00882DB1">
        <w:rPr>
          <w:rFonts w:cstheme="minorHAnsi"/>
          <w:lang w:val="tr-TR"/>
        </w:rPr>
        <w:t xml:space="preserve">kişisel verilerinin korunması </w:t>
      </w:r>
      <w:r w:rsidR="00D142B8" w:rsidRPr="00882DB1">
        <w:rPr>
          <w:rFonts w:cstheme="minorHAnsi"/>
          <w:lang w:val="tr-TR"/>
        </w:rPr>
        <w:t xml:space="preserve">hem Veri Sorumlusunun hem de Veri İşleyenin müşterek sorumluluğundadır. İşbu </w:t>
      </w:r>
      <w:r w:rsidR="00F941A4">
        <w:rPr>
          <w:rFonts w:cstheme="minorHAnsi"/>
          <w:lang w:val="tr-TR"/>
        </w:rPr>
        <w:t>Protokol</w:t>
      </w:r>
      <w:r w:rsidR="00FD53D0" w:rsidRPr="00882DB1">
        <w:rPr>
          <w:rFonts w:cstheme="minorHAnsi"/>
          <w:lang w:val="tr-TR"/>
        </w:rPr>
        <w:t>,</w:t>
      </w:r>
      <w:r w:rsidR="00D142B8" w:rsidRPr="00882DB1">
        <w:rPr>
          <w:rFonts w:cstheme="minorHAnsi"/>
          <w:lang w:val="tr-TR"/>
        </w:rPr>
        <w:t xml:space="preserve"> Veri Sorumlusu ve Veri İşleyen arasında </w:t>
      </w:r>
      <w:r w:rsidR="00D142B8" w:rsidRPr="002D2ABF">
        <w:rPr>
          <w:rFonts w:cstheme="minorHAnsi"/>
          <w:highlight w:val="yellow"/>
          <w:lang w:val="tr-TR"/>
        </w:rPr>
        <w:t>………</w:t>
      </w:r>
      <w:r w:rsidR="001C0F97" w:rsidRPr="002D2ABF">
        <w:rPr>
          <w:rFonts w:cstheme="minorHAnsi"/>
          <w:highlight w:val="yellow"/>
          <w:lang w:val="tr-TR"/>
        </w:rPr>
        <w:t>…………….</w:t>
      </w:r>
      <w:r w:rsidR="00D142B8" w:rsidRPr="002D2ABF">
        <w:rPr>
          <w:rFonts w:cstheme="minorHAnsi"/>
          <w:highlight w:val="yellow"/>
          <w:lang w:val="tr-TR"/>
        </w:rPr>
        <w:t>……….</w:t>
      </w:r>
      <w:r w:rsidR="00A10CF9" w:rsidRPr="002D2ABF">
        <w:rPr>
          <w:rFonts w:cstheme="minorHAnsi"/>
          <w:highlight w:val="yellow"/>
          <w:lang w:val="tr-TR"/>
        </w:rPr>
        <w:t xml:space="preserve"> </w:t>
      </w:r>
      <w:r w:rsidR="00D142B8" w:rsidRPr="002D2ABF">
        <w:rPr>
          <w:rFonts w:cstheme="minorHAnsi"/>
          <w:highlight w:val="yellow"/>
          <w:lang w:val="tr-TR"/>
        </w:rPr>
        <w:t xml:space="preserve"> tarihinde imzalanmış olan hizmet sözleşmesinin</w:t>
      </w:r>
      <w:r w:rsidR="00D142B8" w:rsidRPr="00882DB1">
        <w:rPr>
          <w:rFonts w:cstheme="minorHAnsi"/>
          <w:lang w:val="tr-TR"/>
        </w:rPr>
        <w:t xml:space="preserve"> (</w:t>
      </w:r>
      <w:r w:rsidR="00D142B8" w:rsidRPr="00882DB1">
        <w:rPr>
          <w:rFonts w:cstheme="minorHAnsi"/>
          <w:b/>
          <w:lang w:val="tr-TR"/>
        </w:rPr>
        <w:t>“Sözleşme”</w:t>
      </w:r>
      <w:r w:rsidR="00D142B8" w:rsidRPr="00882DB1">
        <w:rPr>
          <w:rFonts w:cstheme="minorHAnsi"/>
          <w:lang w:val="tr-TR"/>
        </w:rPr>
        <w:t>)</w:t>
      </w:r>
      <w:r w:rsidR="002608CE" w:rsidRPr="00882DB1">
        <w:rPr>
          <w:rFonts w:cstheme="minorHAnsi"/>
          <w:lang w:val="tr-TR"/>
        </w:rPr>
        <w:t>,</w:t>
      </w:r>
      <w:r w:rsidR="00076E3F" w:rsidRPr="00882DB1">
        <w:rPr>
          <w:rFonts w:cstheme="minorHAnsi"/>
          <w:lang w:val="tr-TR"/>
        </w:rPr>
        <w:t xml:space="preserve"> </w:t>
      </w:r>
      <w:r w:rsidR="00C46FB1" w:rsidRPr="00882DB1">
        <w:rPr>
          <w:rFonts w:cstheme="minorHAnsi"/>
          <w:lang w:val="tr-TR"/>
        </w:rPr>
        <w:t xml:space="preserve">Veri Koruma Mevzuatı’nın </w:t>
      </w:r>
      <w:r w:rsidR="00076E3F" w:rsidRPr="00882DB1">
        <w:rPr>
          <w:rFonts w:cstheme="minorHAnsi"/>
          <w:lang w:val="tr-TR"/>
        </w:rPr>
        <w:t>gereklerine uyarlanması ve</w:t>
      </w:r>
      <w:r w:rsidR="00A10CF9" w:rsidRPr="00882DB1">
        <w:rPr>
          <w:rFonts w:cstheme="minorHAnsi"/>
          <w:lang w:val="tr-TR"/>
        </w:rPr>
        <w:t xml:space="preserve"> Tarafların yükümlülüklerinin</w:t>
      </w:r>
      <w:r w:rsidR="00076E3F" w:rsidRPr="00882DB1">
        <w:rPr>
          <w:rFonts w:cstheme="minorHAnsi"/>
          <w:lang w:val="tr-TR"/>
        </w:rPr>
        <w:t xml:space="preserve"> somutlaştırılması amacını taşımaktadır</w:t>
      </w:r>
      <w:r w:rsidR="005B4992" w:rsidRPr="00882DB1">
        <w:rPr>
          <w:rFonts w:cstheme="minorHAnsi"/>
          <w:lang w:val="tr-TR"/>
        </w:rPr>
        <w:t>.</w:t>
      </w:r>
    </w:p>
    <w:p w14:paraId="26F2E100" w14:textId="778A6571" w:rsidR="00A10CF9" w:rsidRPr="00882DB1" w:rsidRDefault="00A10CF9" w:rsidP="003626B1">
      <w:pPr>
        <w:spacing w:before="120" w:after="120" w:line="360" w:lineRule="auto"/>
        <w:jc w:val="both"/>
        <w:rPr>
          <w:rFonts w:cstheme="minorHAnsi"/>
          <w:lang w:val="tr-TR"/>
        </w:rPr>
      </w:pPr>
      <w:r w:rsidRPr="00882DB1">
        <w:rPr>
          <w:rFonts w:cstheme="minorHAnsi"/>
          <w:lang w:val="tr-TR"/>
        </w:rPr>
        <w:t xml:space="preserve">Veri Sorumlusu ve Veri İşleyen ayrı ayrı </w:t>
      </w:r>
      <w:r w:rsidRPr="00882DB1">
        <w:rPr>
          <w:rFonts w:cstheme="minorHAnsi"/>
          <w:b/>
          <w:lang w:val="tr-TR"/>
        </w:rPr>
        <w:t>“Taraf”</w:t>
      </w:r>
      <w:r w:rsidRPr="00882DB1">
        <w:rPr>
          <w:rFonts w:cstheme="minorHAnsi"/>
          <w:lang w:val="tr-TR"/>
        </w:rPr>
        <w:t xml:space="preserve"> ve birlikte </w:t>
      </w:r>
      <w:r w:rsidRPr="00882DB1">
        <w:rPr>
          <w:rFonts w:cstheme="minorHAnsi"/>
          <w:b/>
          <w:lang w:val="tr-TR"/>
        </w:rPr>
        <w:t>“Taraflar”</w:t>
      </w:r>
      <w:r w:rsidRPr="00882DB1">
        <w:rPr>
          <w:rFonts w:cstheme="minorHAnsi"/>
          <w:lang w:val="tr-TR"/>
        </w:rPr>
        <w:t xml:space="preserve"> olarak anılacaktır.</w:t>
      </w:r>
    </w:p>
    <w:p w14:paraId="34C60C01" w14:textId="23CEEB8C" w:rsidR="00A10CF9" w:rsidRPr="00882DB1" w:rsidRDefault="001C0F97" w:rsidP="003626B1">
      <w:pPr>
        <w:pStyle w:val="ListParagraph"/>
        <w:numPr>
          <w:ilvl w:val="0"/>
          <w:numId w:val="2"/>
        </w:numPr>
        <w:spacing w:before="120" w:after="120" w:line="360" w:lineRule="auto"/>
        <w:ind w:left="426" w:hanging="426"/>
        <w:jc w:val="both"/>
        <w:rPr>
          <w:rFonts w:cstheme="minorHAnsi"/>
          <w:lang w:val="tr-TR"/>
        </w:rPr>
      </w:pPr>
      <w:r>
        <w:rPr>
          <w:rFonts w:cstheme="minorHAnsi"/>
          <w:lang w:val="tr-TR"/>
        </w:rPr>
        <w:t xml:space="preserve">İşbu Protokol uyarınca, </w:t>
      </w:r>
      <w:r w:rsidR="003626B1" w:rsidRPr="00882DB1">
        <w:rPr>
          <w:rFonts w:cstheme="minorHAnsi"/>
          <w:lang w:val="tr-TR"/>
        </w:rPr>
        <w:t>Veri İşleyen</w:t>
      </w:r>
      <w:r w:rsidR="00A10CF9" w:rsidRPr="00882DB1">
        <w:rPr>
          <w:rFonts w:cstheme="minorHAnsi"/>
          <w:lang w:val="tr-TR"/>
        </w:rPr>
        <w:t>, Sözleşme kapsamında elde edeceği tek başına veya başka bilgilerle birlikte gerçek bir kişiyi tanımlayan, her türlü veriyi (</w:t>
      </w:r>
      <w:r w:rsidR="00A10CF9" w:rsidRPr="00882DB1">
        <w:rPr>
          <w:rFonts w:cstheme="minorHAnsi"/>
          <w:b/>
          <w:lang w:val="tr-TR"/>
        </w:rPr>
        <w:t>“Kişisel Veri”</w:t>
      </w:r>
      <w:r w:rsidR="00A10CF9" w:rsidRPr="00882DB1">
        <w:rPr>
          <w:rFonts w:cstheme="minorHAnsi"/>
          <w:lang w:val="tr-TR"/>
        </w:rPr>
        <w:t>), Veri Koruma Mevzuatı hükümlerine uygun olarak toplamayı ve işlemeyi ve bu Kişisel Veri’leri</w:t>
      </w:r>
      <w:r w:rsidR="003626B1" w:rsidRPr="00882DB1">
        <w:rPr>
          <w:rFonts w:cstheme="minorHAnsi"/>
          <w:lang w:val="tr-TR"/>
        </w:rPr>
        <w:t>, Sözleşme’nin ifası dışında</w:t>
      </w:r>
      <w:r w:rsidR="00A10CF9" w:rsidRPr="00882DB1">
        <w:rPr>
          <w:rFonts w:cstheme="minorHAnsi"/>
          <w:lang w:val="tr-TR"/>
        </w:rPr>
        <w:t xml:space="preserve"> başka </w:t>
      </w:r>
      <w:r w:rsidR="007E6D6C">
        <w:rPr>
          <w:rFonts w:cstheme="minorHAnsi"/>
          <w:lang w:val="tr-TR"/>
        </w:rPr>
        <w:t xml:space="preserve">hiçbir </w:t>
      </w:r>
      <w:r w:rsidR="00A10CF9" w:rsidRPr="00882DB1">
        <w:rPr>
          <w:rFonts w:cstheme="minorHAnsi"/>
          <w:lang w:val="tr-TR"/>
        </w:rPr>
        <w:t xml:space="preserve">bir amaç için kullanmamayı kabul, beyan ve taahhüt eder. </w:t>
      </w:r>
    </w:p>
    <w:p w14:paraId="77C72172" w14:textId="185C3D23" w:rsidR="00A10CF9" w:rsidRPr="00882DB1" w:rsidRDefault="00A10CF9" w:rsidP="003626B1">
      <w:pPr>
        <w:pStyle w:val="ListParagraph"/>
        <w:numPr>
          <w:ilvl w:val="0"/>
          <w:numId w:val="2"/>
        </w:numPr>
        <w:spacing w:before="120" w:after="120" w:line="360" w:lineRule="auto"/>
        <w:ind w:left="426" w:hanging="426"/>
        <w:jc w:val="both"/>
        <w:rPr>
          <w:rFonts w:cstheme="minorHAnsi"/>
          <w:lang w:val="tr-TR"/>
        </w:rPr>
      </w:pPr>
      <w:r w:rsidRPr="00882DB1">
        <w:rPr>
          <w:rFonts w:cstheme="minorHAnsi"/>
          <w:lang w:val="tr-TR"/>
        </w:rPr>
        <w:t xml:space="preserve">Veri İşleyen, Sözleşme kapsamında kendisine aktarılan Kişisel Veri’lere erişimi, bu bilgilere erişmesi gereken minimum sayıda personeli veya Veri Sorumlusu tarafından yazılı olarak izin verildiği durumlarda alt yüklenicisinin çalışanları ile sınırlandırmak üzere tasarlanmış politikalar, prosedürler veya kontroller yürütecektir ve bu Kişisel Veri’lere izinsiz erişimi veya bunların izinsiz kullanılmasını engelleyecektir. </w:t>
      </w:r>
    </w:p>
    <w:p w14:paraId="432C84F3" w14:textId="66153406" w:rsidR="007967A4" w:rsidRPr="00882DB1" w:rsidRDefault="00A10CF9" w:rsidP="003626B1">
      <w:pPr>
        <w:pStyle w:val="ListParagraph"/>
        <w:numPr>
          <w:ilvl w:val="0"/>
          <w:numId w:val="2"/>
        </w:numPr>
        <w:spacing w:before="120" w:after="120" w:line="360" w:lineRule="auto"/>
        <w:ind w:left="426" w:hanging="426"/>
        <w:jc w:val="both"/>
        <w:rPr>
          <w:rFonts w:cstheme="minorHAnsi"/>
          <w:lang w:val="tr-TR"/>
        </w:rPr>
      </w:pPr>
      <w:r w:rsidRPr="00882DB1">
        <w:rPr>
          <w:rFonts w:cstheme="minorHAnsi"/>
          <w:lang w:val="tr-TR"/>
        </w:rPr>
        <w:t xml:space="preserve">Veri İşleyen, bu Sözleşme’nin ifası sırasında elde ettiği Kişisel Veri’leri hiçbir surette üçüncü kişiler ile paylaşmayacak ve ifşa etmeyecektir. Bu </w:t>
      </w:r>
      <w:r w:rsidR="00F941A4">
        <w:rPr>
          <w:rFonts w:cstheme="minorHAnsi"/>
          <w:lang w:val="tr-TR"/>
        </w:rPr>
        <w:t>Protokol</w:t>
      </w:r>
      <w:r w:rsidR="003626B1" w:rsidRPr="00882DB1">
        <w:rPr>
          <w:rFonts w:cstheme="minorHAnsi"/>
          <w:lang w:val="tr-TR"/>
        </w:rPr>
        <w:t xml:space="preserve"> </w:t>
      </w:r>
      <w:r w:rsidRPr="00882DB1">
        <w:rPr>
          <w:rFonts w:cstheme="minorHAnsi"/>
          <w:lang w:val="tr-TR"/>
        </w:rPr>
        <w:t xml:space="preserve">kapsamındaki yükümlülüklerin ihlali sebebiyle </w:t>
      </w:r>
      <w:r w:rsidR="003626B1" w:rsidRPr="00882DB1">
        <w:rPr>
          <w:rFonts w:cstheme="minorHAnsi"/>
          <w:lang w:val="tr-TR"/>
        </w:rPr>
        <w:t>Veri Sorumlusu’nu</w:t>
      </w:r>
      <w:r w:rsidRPr="00882DB1">
        <w:rPr>
          <w:rFonts w:cstheme="minorHAnsi"/>
          <w:lang w:val="tr-TR"/>
        </w:rPr>
        <w:t xml:space="preserve">n uğrayacağı her türlü zararı </w:t>
      </w:r>
      <w:r w:rsidR="003626B1" w:rsidRPr="00882DB1">
        <w:rPr>
          <w:rFonts w:cstheme="minorHAnsi"/>
          <w:lang w:val="tr-TR"/>
        </w:rPr>
        <w:t xml:space="preserve">Veri İşleyen </w:t>
      </w:r>
      <w:r w:rsidRPr="00882DB1">
        <w:rPr>
          <w:rFonts w:cstheme="minorHAnsi"/>
          <w:lang w:val="tr-TR"/>
        </w:rPr>
        <w:t xml:space="preserve">tazmin edecektir. </w:t>
      </w:r>
      <w:r w:rsidR="008E5673" w:rsidRPr="00882DB1">
        <w:rPr>
          <w:rFonts w:cstheme="minorHAnsi"/>
          <w:lang w:val="tr-TR"/>
        </w:rPr>
        <w:t xml:space="preserve">Veri İşleyen, </w:t>
      </w:r>
      <w:r w:rsidR="003626B1" w:rsidRPr="00882DB1">
        <w:rPr>
          <w:rFonts w:cstheme="minorHAnsi"/>
          <w:lang w:val="tr-TR"/>
        </w:rPr>
        <w:t>Veri Sorumlusu’nu</w:t>
      </w:r>
      <w:r w:rsidRPr="00882DB1">
        <w:rPr>
          <w:rFonts w:cstheme="minorHAnsi"/>
          <w:lang w:val="tr-TR"/>
        </w:rPr>
        <w:t>n uğrayacağı zarar</w:t>
      </w:r>
      <w:r w:rsidR="008E5673" w:rsidRPr="00882DB1">
        <w:rPr>
          <w:rFonts w:cstheme="minorHAnsi"/>
          <w:lang w:val="tr-TR"/>
        </w:rPr>
        <w:t>ı</w:t>
      </w:r>
      <w:r w:rsidRPr="00882DB1">
        <w:rPr>
          <w:rFonts w:cstheme="minorHAnsi"/>
          <w:lang w:val="tr-TR"/>
        </w:rPr>
        <w:t xml:space="preserve">, derhal ve </w:t>
      </w:r>
      <w:r w:rsidR="003626B1" w:rsidRPr="00882DB1">
        <w:rPr>
          <w:rFonts w:cstheme="minorHAnsi"/>
          <w:lang w:val="tr-TR"/>
        </w:rPr>
        <w:t xml:space="preserve">Veri Sorumlusu’nun </w:t>
      </w:r>
      <w:r w:rsidRPr="00882DB1">
        <w:rPr>
          <w:rFonts w:cstheme="minorHAnsi"/>
          <w:lang w:val="tr-TR"/>
        </w:rPr>
        <w:t xml:space="preserve">ilk talebiyle </w:t>
      </w:r>
      <w:r w:rsidR="008E5673" w:rsidRPr="00882DB1">
        <w:rPr>
          <w:rFonts w:cstheme="minorHAnsi"/>
          <w:lang w:val="tr-TR"/>
        </w:rPr>
        <w:t>karşılayacağını kabul, beyan ve taahhüt eder</w:t>
      </w:r>
      <w:r w:rsidRPr="00882DB1">
        <w:rPr>
          <w:rFonts w:cstheme="minorHAnsi"/>
          <w:lang w:val="tr-TR"/>
        </w:rPr>
        <w:t xml:space="preserve">. </w:t>
      </w:r>
    </w:p>
    <w:p w14:paraId="2F11B015" w14:textId="5FF4E06C" w:rsidR="003626B1" w:rsidRPr="00882DB1" w:rsidRDefault="003626B1" w:rsidP="003626B1">
      <w:pPr>
        <w:pStyle w:val="ListParagraph"/>
        <w:numPr>
          <w:ilvl w:val="0"/>
          <w:numId w:val="2"/>
        </w:numPr>
        <w:spacing w:before="120" w:after="120" w:line="360" w:lineRule="auto"/>
        <w:ind w:left="426"/>
        <w:jc w:val="both"/>
        <w:rPr>
          <w:rFonts w:cstheme="minorHAnsi"/>
          <w:lang w:val="tr-TR"/>
        </w:rPr>
      </w:pPr>
      <w:r w:rsidRPr="00882DB1">
        <w:rPr>
          <w:rFonts w:cstheme="minorHAnsi"/>
          <w:lang w:val="tr-TR"/>
        </w:rPr>
        <w:t>Veri İşleyen; Kişisel Verilerin hukuka aykırı olarak işlenmesini önlemek, Kişisel Verilere hukuka aykırı olarak erişilmesini önlemek ve Kişisel Verilerin muhafazasını sağlamak amacıyla Kişisel Verinin niteliğine göre uygun güvenlik düzeyini temin etmeye yönelik gerekli her türlü teknik ve idari tedbiri alır.</w:t>
      </w:r>
    </w:p>
    <w:p w14:paraId="549CED98" w14:textId="1D5739C0" w:rsidR="003626B1" w:rsidRPr="00882DB1" w:rsidRDefault="003626B1" w:rsidP="003626B1">
      <w:pPr>
        <w:pStyle w:val="ListParagraph"/>
        <w:numPr>
          <w:ilvl w:val="0"/>
          <w:numId w:val="2"/>
        </w:numPr>
        <w:spacing w:before="120" w:after="120" w:line="360" w:lineRule="auto"/>
        <w:ind w:left="426"/>
        <w:jc w:val="both"/>
        <w:rPr>
          <w:rFonts w:cstheme="minorHAnsi"/>
          <w:lang w:val="tr-TR"/>
        </w:rPr>
      </w:pPr>
      <w:r w:rsidRPr="00882DB1">
        <w:rPr>
          <w:rFonts w:cstheme="minorHAnsi"/>
          <w:lang w:val="tr-TR"/>
        </w:rPr>
        <w:t>Veri İşleyen; Kişisel Verileri Veri Sorumlusu adına, onun verdiği talimatlara ve Sözleşme’</w:t>
      </w:r>
      <w:r w:rsidR="002D2ABF">
        <w:rPr>
          <w:rFonts w:cstheme="minorHAnsi"/>
          <w:lang w:val="tr-TR"/>
        </w:rPr>
        <w:t>ye uygun olarak işleyecektir</w:t>
      </w:r>
      <w:r w:rsidRPr="00882DB1">
        <w:rPr>
          <w:rFonts w:cstheme="minorHAnsi"/>
          <w:lang w:val="tr-TR"/>
        </w:rPr>
        <w:t xml:space="preserve">. Herhangi bir sebeple Veri Sorumlusunun talimatlarına ve Sözleşme’ye </w:t>
      </w:r>
      <w:r w:rsidRPr="00882DB1">
        <w:rPr>
          <w:rFonts w:cstheme="minorHAnsi"/>
          <w:lang w:val="tr-TR"/>
        </w:rPr>
        <w:lastRenderedPageBreak/>
        <w:t>uygunluk sağlanamazsa, Veri Sorumlusu’nu konu ile ilgili en kısa sü</w:t>
      </w:r>
      <w:r w:rsidR="007E6D6C">
        <w:rPr>
          <w:rFonts w:cstheme="minorHAnsi"/>
          <w:lang w:val="tr-TR"/>
        </w:rPr>
        <w:t>rede bilgilendirecektir. Veri İşleyen, böylesi bir</w:t>
      </w:r>
      <w:r w:rsidRPr="00882DB1">
        <w:rPr>
          <w:rFonts w:cstheme="minorHAnsi"/>
          <w:lang w:val="tr-TR"/>
        </w:rPr>
        <w:t xml:space="preserve"> durumda Veri Sorumlusu’nun veri aktarımını askıya alma ve Sözleşme’yi feshetme hakkına sahip olacağını kabul eder. </w:t>
      </w:r>
    </w:p>
    <w:p w14:paraId="5F7FD2D3" w14:textId="5D3EAFC7" w:rsidR="003626B1" w:rsidRPr="00882DB1" w:rsidRDefault="003626B1" w:rsidP="003626B1">
      <w:pPr>
        <w:pStyle w:val="ListParagraph"/>
        <w:numPr>
          <w:ilvl w:val="0"/>
          <w:numId w:val="2"/>
        </w:numPr>
        <w:spacing w:before="120" w:after="120" w:line="360" w:lineRule="auto"/>
        <w:ind w:left="426"/>
        <w:jc w:val="both"/>
        <w:rPr>
          <w:rFonts w:cstheme="minorHAnsi"/>
          <w:lang w:val="tr-TR"/>
        </w:rPr>
      </w:pPr>
      <w:r w:rsidRPr="00882DB1">
        <w:rPr>
          <w:rFonts w:cstheme="minorHAnsi"/>
          <w:lang w:val="tr-TR"/>
        </w:rPr>
        <w:t>Veri İşleyen; Sözleşme’nin feshedilmesi veya yürürlük süresinin sona ermesi halinde, Veri Sorumlusu’nun tercihine bağlı olarak, aktarıma konu Kişisel Verileri yedekleri ile birlikte Veri Sorumlusu’na geri göndereceğini ya da Kişisel Verileri tamamen</w:t>
      </w:r>
      <w:r w:rsidR="005B6E44">
        <w:rPr>
          <w:rFonts w:cstheme="minorHAnsi"/>
          <w:lang w:val="tr-TR"/>
        </w:rPr>
        <w:t xml:space="preserve"> ve Veri Koruma Mevzuatı’nda öngörülen usul ve esaslara uygun şekilde</w:t>
      </w:r>
      <w:r w:rsidRPr="00882DB1">
        <w:rPr>
          <w:rFonts w:cstheme="minorHAnsi"/>
          <w:lang w:val="tr-TR"/>
        </w:rPr>
        <w:t xml:space="preserve"> yok edeceğini, sair mevzuatta Veri İşleyenin bu yükümlülüğü yerine getirmesini engelleyen hükümler varsa, </w:t>
      </w:r>
      <w:r w:rsidR="005B6E44">
        <w:rPr>
          <w:rFonts w:cstheme="minorHAnsi"/>
          <w:lang w:val="tr-TR"/>
        </w:rPr>
        <w:t>Sözleşme’ye</w:t>
      </w:r>
      <w:r w:rsidRPr="00882DB1">
        <w:rPr>
          <w:rFonts w:cstheme="minorHAnsi"/>
          <w:lang w:val="tr-TR"/>
        </w:rPr>
        <w:t xml:space="preserve"> konu Kişisel Verilerin gizliliğini güvence altına almak için gerekli her türlü teknik ve idari tedbiri alacağını ve veri işleme faaliyetini durduracağını kabul eder. </w:t>
      </w:r>
    </w:p>
    <w:p w14:paraId="45C7D3E0" w14:textId="5C2EB51F" w:rsidR="003626B1" w:rsidRPr="00882DB1" w:rsidRDefault="003626B1" w:rsidP="003626B1">
      <w:pPr>
        <w:pStyle w:val="ListParagraph"/>
        <w:numPr>
          <w:ilvl w:val="0"/>
          <w:numId w:val="2"/>
        </w:numPr>
        <w:spacing w:before="120" w:after="120" w:line="360" w:lineRule="auto"/>
        <w:ind w:left="426"/>
        <w:jc w:val="both"/>
        <w:rPr>
          <w:rFonts w:cstheme="minorHAnsi"/>
          <w:lang w:val="tr-TR"/>
        </w:rPr>
      </w:pPr>
      <w:r w:rsidRPr="00882DB1">
        <w:rPr>
          <w:rFonts w:cstheme="minorHAnsi"/>
          <w:lang w:val="tr-TR"/>
        </w:rPr>
        <w:t>Veri İşleyen; Kişisel Verilerin adli bir makamdan gelen ve Kişisel Verilerin söz konusu adli makama açıklanmasını gerektiren yasal olarak bağlayıcı talepleri ve Kişisel Verilere yetkisiz kişilerce erişilmesi durumunu en kısa sürede Veri Sorumlusu</w:t>
      </w:r>
      <w:r w:rsidR="00DD6B4A" w:rsidRPr="00882DB1">
        <w:rPr>
          <w:rFonts w:cstheme="minorHAnsi"/>
          <w:lang w:val="tr-TR"/>
        </w:rPr>
        <w:t>’</w:t>
      </w:r>
      <w:r w:rsidRPr="00882DB1">
        <w:rPr>
          <w:rFonts w:cstheme="minorHAnsi"/>
          <w:lang w:val="tr-TR"/>
        </w:rPr>
        <w:t>na bildirir.</w:t>
      </w:r>
    </w:p>
    <w:p w14:paraId="1E180F72" w14:textId="191790F9" w:rsidR="003626B1" w:rsidRPr="00882DB1" w:rsidRDefault="003626B1" w:rsidP="003626B1">
      <w:pPr>
        <w:pStyle w:val="ListParagraph"/>
        <w:numPr>
          <w:ilvl w:val="0"/>
          <w:numId w:val="2"/>
        </w:numPr>
        <w:spacing w:before="120" w:after="120" w:line="360" w:lineRule="auto"/>
        <w:ind w:left="426"/>
        <w:jc w:val="both"/>
        <w:rPr>
          <w:rFonts w:cstheme="minorHAnsi"/>
          <w:lang w:val="tr-TR"/>
        </w:rPr>
      </w:pPr>
      <w:r w:rsidRPr="00882DB1">
        <w:rPr>
          <w:rFonts w:cstheme="minorHAnsi"/>
          <w:lang w:val="tr-TR"/>
        </w:rPr>
        <w:t>Veri İşleyen</w:t>
      </w:r>
      <w:r w:rsidR="00DD6B4A" w:rsidRPr="00882DB1">
        <w:rPr>
          <w:rFonts w:cstheme="minorHAnsi"/>
          <w:lang w:val="tr-TR"/>
        </w:rPr>
        <w:t>, S</w:t>
      </w:r>
      <w:r w:rsidRPr="00882DB1">
        <w:rPr>
          <w:rFonts w:cstheme="minorHAnsi"/>
          <w:lang w:val="tr-TR"/>
        </w:rPr>
        <w:t>özleşme kapsamında Veri Sorumlusu</w:t>
      </w:r>
      <w:r w:rsidR="00DD6B4A" w:rsidRPr="00882DB1">
        <w:rPr>
          <w:rFonts w:cstheme="minorHAnsi"/>
          <w:lang w:val="tr-TR"/>
        </w:rPr>
        <w:t>’</w:t>
      </w:r>
      <w:r w:rsidRPr="00882DB1">
        <w:rPr>
          <w:rFonts w:cstheme="minorHAnsi"/>
          <w:lang w:val="tr-TR"/>
        </w:rPr>
        <w:t>ndan gelen soruları mümkün olan en kısa sürede us</w:t>
      </w:r>
      <w:r w:rsidR="008730CC">
        <w:rPr>
          <w:rFonts w:cstheme="minorHAnsi"/>
          <w:lang w:val="tr-TR"/>
        </w:rPr>
        <w:t>ulüne uygun olarak cevaplandıracak</w:t>
      </w:r>
      <w:r w:rsidRPr="00882DB1">
        <w:rPr>
          <w:rFonts w:cstheme="minorHAnsi"/>
          <w:lang w:val="tr-TR"/>
        </w:rPr>
        <w:t xml:space="preserve"> ve aktarıma konu Kişisel Verilerin işlenmesi hususunda Kurul</w:t>
      </w:r>
      <w:r w:rsidR="00DD6B4A" w:rsidRPr="00882DB1">
        <w:rPr>
          <w:rFonts w:cstheme="minorHAnsi"/>
          <w:lang w:val="tr-TR"/>
        </w:rPr>
        <w:t>’</w:t>
      </w:r>
      <w:r w:rsidR="008730CC">
        <w:rPr>
          <w:rFonts w:cstheme="minorHAnsi"/>
          <w:lang w:val="tr-TR"/>
        </w:rPr>
        <w:t>un karar ve görüşlerine uyacaktır</w:t>
      </w:r>
      <w:r w:rsidRPr="00882DB1">
        <w:rPr>
          <w:rFonts w:cstheme="minorHAnsi"/>
          <w:lang w:val="tr-TR"/>
        </w:rPr>
        <w:t>.</w:t>
      </w:r>
    </w:p>
    <w:p w14:paraId="1C153E71" w14:textId="783E82A5" w:rsidR="003626B1" w:rsidRPr="00882DB1" w:rsidRDefault="003626B1" w:rsidP="003626B1">
      <w:pPr>
        <w:pStyle w:val="ListParagraph"/>
        <w:numPr>
          <w:ilvl w:val="0"/>
          <w:numId w:val="2"/>
        </w:numPr>
        <w:spacing w:before="120" w:after="120" w:line="360" w:lineRule="auto"/>
        <w:ind w:left="426"/>
        <w:jc w:val="both"/>
        <w:rPr>
          <w:rFonts w:cstheme="minorHAnsi"/>
          <w:lang w:val="tr-TR"/>
        </w:rPr>
      </w:pPr>
      <w:r w:rsidRPr="00882DB1">
        <w:rPr>
          <w:rFonts w:cstheme="minorHAnsi"/>
          <w:lang w:val="tr-TR"/>
        </w:rPr>
        <w:t>Veri İşleyen, taahhüt ve yükümlülüklerinin yerine getirilip getirilmediğine yönelik Veri Sorumlusu</w:t>
      </w:r>
      <w:r w:rsidR="00DD6B4A" w:rsidRPr="00882DB1">
        <w:rPr>
          <w:rFonts w:cstheme="minorHAnsi"/>
          <w:lang w:val="tr-TR"/>
        </w:rPr>
        <w:t>’</w:t>
      </w:r>
      <w:r w:rsidRPr="00882DB1">
        <w:rPr>
          <w:rFonts w:cstheme="minorHAnsi"/>
          <w:lang w:val="tr-TR"/>
        </w:rPr>
        <w:t xml:space="preserve">nun denetim yapma ve yaptırma yetkisine sahip olduğunu </w:t>
      </w:r>
      <w:r w:rsidR="008730CC">
        <w:rPr>
          <w:rFonts w:cstheme="minorHAnsi"/>
          <w:lang w:val="tr-TR"/>
        </w:rPr>
        <w:t xml:space="preserve">ayrıca </w:t>
      </w:r>
      <w:r w:rsidR="008730CC" w:rsidRPr="00882DB1">
        <w:rPr>
          <w:rFonts w:cstheme="minorHAnsi"/>
          <w:lang w:val="tr-TR"/>
        </w:rPr>
        <w:t>bu</w:t>
      </w:r>
      <w:r w:rsidR="008730CC">
        <w:rPr>
          <w:rFonts w:cstheme="minorHAnsi"/>
          <w:lang w:val="tr-TR"/>
        </w:rPr>
        <w:t xml:space="preserve"> yönde Veri Sorumlusu’na gerekli kolaylığı sağlayacağını </w:t>
      </w:r>
      <w:r w:rsidRPr="00882DB1">
        <w:rPr>
          <w:rFonts w:cstheme="minorHAnsi"/>
          <w:lang w:val="tr-TR"/>
        </w:rPr>
        <w:t>kabul</w:t>
      </w:r>
      <w:r w:rsidR="008730CC">
        <w:rPr>
          <w:rFonts w:cstheme="minorHAnsi"/>
          <w:lang w:val="tr-TR"/>
        </w:rPr>
        <w:t xml:space="preserve">, beyan ve taahhüt eder. </w:t>
      </w:r>
    </w:p>
    <w:p w14:paraId="453FBD15" w14:textId="1AD37CB0" w:rsidR="003626B1" w:rsidRPr="00882DB1" w:rsidRDefault="003626B1" w:rsidP="003626B1">
      <w:pPr>
        <w:pStyle w:val="ListParagraph"/>
        <w:numPr>
          <w:ilvl w:val="0"/>
          <w:numId w:val="2"/>
        </w:numPr>
        <w:spacing w:before="120" w:after="120" w:line="360" w:lineRule="auto"/>
        <w:ind w:left="426"/>
        <w:jc w:val="both"/>
        <w:rPr>
          <w:rFonts w:cstheme="minorHAnsi"/>
          <w:lang w:val="tr-TR"/>
        </w:rPr>
      </w:pPr>
      <w:r w:rsidRPr="00882DB1">
        <w:rPr>
          <w:rFonts w:cstheme="minorHAnsi"/>
          <w:lang w:val="tr-TR"/>
        </w:rPr>
        <w:t>Veri İşleyen</w:t>
      </w:r>
      <w:r w:rsidR="00146CE8">
        <w:rPr>
          <w:rFonts w:cstheme="minorHAnsi"/>
          <w:lang w:val="tr-TR"/>
        </w:rPr>
        <w:t>,</w:t>
      </w:r>
      <w:r w:rsidR="00DD6B4A" w:rsidRPr="00882DB1">
        <w:rPr>
          <w:rFonts w:cstheme="minorHAnsi"/>
          <w:lang w:val="tr-TR"/>
        </w:rPr>
        <w:t xml:space="preserve"> S</w:t>
      </w:r>
      <w:r w:rsidRPr="00882DB1">
        <w:rPr>
          <w:rFonts w:cstheme="minorHAnsi"/>
          <w:lang w:val="tr-TR"/>
        </w:rPr>
        <w:t>özleş</w:t>
      </w:r>
      <w:r w:rsidR="00DD6B4A" w:rsidRPr="00882DB1">
        <w:rPr>
          <w:rFonts w:cstheme="minorHAnsi"/>
          <w:lang w:val="tr-TR"/>
        </w:rPr>
        <w:t>me konusu hizmeti ifa ederken, S</w:t>
      </w:r>
      <w:r w:rsidRPr="00882DB1">
        <w:rPr>
          <w:rFonts w:cstheme="minorHAnsi"/>
          <w:lang w:val="tr-TR"/>
        </w:rPr>
        <w:t xml:space="preserve">özleşmeye konu Kişisel Verileri, bir alt </w:t>
      </w:r>
      <w:r w:rsidR="00146CE8">
        <w:rPr>
          <w:rFonts w:cstheme="minorHAnsi"/>
          <w:lang w:val="tr-TR"/>
        </w:rPr>
        <w:t xml:space="preserve">yükleniciye </w:t>
      </w:r>
      <w:r w:rsidRPr="00882DB1">
        <w:rPr>
          <w:rFonts w:cstheme="minorHAnsi"/>
          <w:lang w:val="tr-TR"/>
        </w:rPr>
        <w:t xml:space="preserve">aktarması gereken hallerde, Veri Sorumlusunu ispat edilebilir şekilde </w:t>
      </w:r>
      <w:r w:rsidR="00146CE8">
        <w:rPr>
          <w:rFonts w:cstheme="minorHAnsi"/>
          <w:lang w:val="tr-TR"/>
        </w:rPr>
        <w:t xml:space="preserve">bilgilendirecek </w:t>
      </w:r>
      <w:r w:rsidRPr="00882DB1">
        <w:rPr>
          <w:rFonts w:cstheme="minorHAnsi"/>
          <w:lang w:val="tr-TR"/>
        </w:rPr>
        <w:t xml:space="preserve">ve </w:t>
      </w:r>
      <w:r w:rsidR="00DD6B4A" w:rsidRPr="00882DB1">
        <w:rPr>
          <w:rFonts w:cstheme="minorHAnsi"/>
          <w:lang w:val="tr-TR"/>
        </w:rPr>
        <w:t xml:space="preserve">yazılı </w:t>
      </w:r>
      <w:r w:rsidR="00146CE8">
        <w:rPr>
          <w:rFonts w:cstheme="minorHAnsi"/>
          <w:lang w:val="tr-TR"/>
        </w:rPr>
        <w:t>onayını alacaktır</w:t>
      </w:r>
      <w:r w:rsidRPr="00882DB1">
        <w:rPr>
          <w:rFonts w:cstheme="minorHAnsi"/>
          <w:lang w:val="tr-TR"/>
        </w:rPr>
        <w:t>. Veri İşleyen</w:t>
      </w:r>
      <w:r w:rsidR="00DD6B4A" w:rsidRPr="00882DB1">
        <w:rPr>
          <w:rFonts w:cstheme="minorHAnsi"/>
          <w:lang w:val="tr-TR"/>
        </w:rPr>
        <w:t>in</w:t>
      </w:r>
      <w:r w:rsidR="00146CE8">
        <w:rPr>
          <w:rFonts w:cstheme="minorHAnsi"/>
          <w:lang w:val="tr-TR"/>
        </w:rPr>
        <w:t>,</w:t>
      </w:r>
      <w:r w:rsidR="00DD6B4A" w:rsidRPr="00882DB1">
        <w:rPr>
          <w:rFonts w:cstheme="minorHAnsi"/>
          <w:lang w:val="tr-TR"/>
        </w:rPr>
        <w:t xml:space="preserve"> alt </w:t>
      </w:r>
      <w:r w:rsidR="00146CE8">
        <w:rPr>
          <w:rFonts w:cstheme="minorHAnsi"/>
          <w:lang w:val="tr-TR"/>
        </w:rPr>
        <w:t>yüklenici ile yapacağı sözleşmede</w:t>
      </w:r>
      <w:r w:rsidRPr="00882DB1">
        <w:rPr>
          <w:rFonts w:cstheme="minorHAnsi"/>
          <w:lang w:val="tr-TR"/>
        </w:rPr>
        <w:t>, asgari olarak Veri Sorumlusu ile Veri İşleyen</w:t>
      </w:r>
      <w:r w:rsidR="00DD6B4A" w:rsidRPr="00882DB1">
        <w:rPr>
          <w:rFonts w:cstheme="minorHAnsi"/>
          <w:lang w:val="tr-TR"/>
        </w:rPr>
        <w:t xml:space="preserve"> arasındaki Sözleşme ve bu </w:t>
      </w:r>
      <w:r w:rsidR="00F941A4">
        <w:rPr>
          <w:rFonts w:cstheme="minorHAnsi"/>
          <w:lang w:val="tr-TR"/>
        </w:rPr>
        <w:t>Protokol</w:t>
      </w:r>
      <w:r w:rsidRPr="00882DB1">
        <w:rPr>
          <w:rFonts w:cstheme="minorHAnsi"/>
          <w:lang w:val="tr-TR"/>
        </w:rPr>
        <w:t xml:space="preserve">deki </w:t>
      </w:r>
      <w:r w:rsidR="00DD6B4A" w:rsidRPr="00882DB1">
        <w:rPr>
          <w:rFonts w:cstheme="minorHAnsi"/>
          <w:lang w:val="tr-TR"/>
        </w:rPr>
        <w:t xml:space="preserve">veri korumaya ilişkin </w:t>
      </w:r>
      <w:r w:rsidRPr="00882DB1">
        <w:rPr>
          <w:rFonts w:cstheme="minorHAnsi"/>
          <w:lang w:val="tr-TR"/>
        </w:rPr>
        <w:t xml:space="preserve">hükümleri </w:t>
      </w:r>
      <w:r w:rsidR="00146CE8">
        <w:rPr>
          <w:rFonts w:cstheme="minorHAnsi"/>
          <w:lang w:val="tr-TR"/>
        </w:rPr>
        <w:t>yer alacaktır</w:t>
      </w:r>
      <w:r w:rsidRPr="00882DB1">
        <w:rPr>
          <w:rFonts w:cstheme="minorHAnsi"/>
          <w:lang w:val="tr-TR"/>
        </w:rPr>
        <w:t>.</w:t>
      </w:r>
      <w:r w:rsidR="00146CE8">
        <w:rPr>
          <w:rFonts w:cstheme="minorHAnsi"/>
          <w:lang w:val="tr-TR"/>
        </w:rPr>
        <w:t xml:space="preserve"> Veri İşleyen, Kişisel Verileri aktardığı alt yüklenicinin Sözleşme ve Protokolde yer alan Veri İşleyen’e ait yükümlülüklere aykırı davranmayacağını kabul, beyan ve taahhüt eder. Veri İşleyen, alt yüklenicilerinin Sözleşme ve Protokolde yer alan yükümlülüklere aykırı davranması sebebiyle Veri Sorumlusu’nun uğrayacağı her türlü zararı, Veri Sorumlusu’nun ilk talebi üzerine nakden ve defaten tazmin edecektir.</w:t>
      </w:r>
    </w:p>
    <w:p w14:paraId="480FF6F6" w14:textId="67791BAF" w:rsidR="003626B1" w:rsidRPr="00882DB1" w:rsidRDefault="00C66F94" w:rsidP="002A4824">
      <w:pPr>
        <w:pStyle w:val="ListParagraph"/>
        <w:numPr>
          <w:ilvl w:val="0"/>
          <w:numId w:val="2"/>
        </w:numPr>
        <w:spacing w:before="120" w:after="120" w:line="360" w:lineRule="auto"/>
        <w:ind w:left="426"/>
        <w:jc w:val="both"/>
        <w:rPr>
          <w:rFonts w:cstheme="minorHAnsi"/>
          <w:lang w:val="tr-TR"/>
        </w:rPr>
      </w:pPr>
      <w:r w:rsidRPr="00882DB1">
        <w:rPr>
          <w:rFonts w:cstheme="minorHAnsi"/>
          <w:lang w:val="tr-TR"/>
        </w:rPr>
        <w:t>Veri Sorumlusu, Kişisel Verilerin kendi adına başka bir gerçek veya tüzel kişi tarafından işlenmesi hâlinde, belirtilen idari ve teknik tedbirlerin alınması hususunda Veri İşleyenle birlikte müştereken sorumludur.</w:t>
      </w:r>
      <w:r w:rsidR="002A4824" w:rsidRPr="00882DB1">
        <w:rPr>
          <w:rFonts w:cstheme="minorHAnsi"/>
          <w:lang w:val="tr-TR"/>
        </w:rPr>
        <w:t xml:space="preserve"> </w:t>
      </w:r>
      <w:r w:rsidR="003626B1" w:rsidRPr="00882DB1">
        <w:rPr>
          <w:rFonts w:cstheme="minorHAnsi"/>
          <w:lang w:val="tr-TR"/>
        </w:rPr>
        <w:t xml:space="preserve">İşbu </w:t>
      </w:r>
      <w:r w:rsidR="00F941A4">
        <w:rPr>
          <w:rFonts w:cstheme="minorHAnsi"/>
          <w:lang w:val="tr-TR"/>
        </w:rPr>
        <w:t>Protokol</w:t>
      </w:r>
      <w:r w:rsidR="003626B1" w:rsidRPr="00882DB1">
        <w:rPr>
          <w:rFonts w:cstheme="minorHAnsi"/>
          <w:lang w:val="tr-TR"/>
        </w:rPr>
        <w:t xml:space="preserve"> kapsamındaki yükümlülükler süresizdir ve Sözleşme süresinin sona ermesinden sonra dahi devam eder.</w:t>
      </w:r>
    </w:p>
    <w:tbl>
      <w:tblPr>
        <w:tblStyle w:val="TableGrid"/>
        <w:tblW w:w="9004" w:type="dxa"/>
        <w:tblLook w:val="04A0" w:firstRow="1" w:lastRow="0" w:firstColumn="1" w:lastColumn="0" w:noHBand="0" w:noVBand="1"/>
      </w:tblPr>
      <w:tblGrid>
        <w:gridCol w:w="4502"/>
        <w:gridCol w:w="4502"/>
      </w:tblGrid>
      <w:tr w:rsidR="002A4824" w:rsidRPr="00882DB1" w14:paraId="2C7C85B4" w14:textId="77777777" w:rsidTr="00882DB1">
        <w:trPr>
          <w:trHeight w:val="3009"/>
        </w:trPr>
        <w:tc>
          <w:tcPr>
            <w:tcW w:w="4502" w:type="dxa"/>
          </w:tcPr>
          <w:p w14:paraId="402221C2" w14:textId="10931498" w:rsidR="002A4824" w:rsidRPr="00882DB1" w:rsidRDefault="002A4824" w:rsidP="002A4824">
            <w:pPr>
              <w:keepNext/>
              <w:rPr>
                <w:rFonts w:cstheme="minorHAnsi"/>
                <w:b/>
                <w:lang w:val="tr-TR"/>
              </w:rPr>
            </w:pPr>
            <w:r w:rsidRPr="00882DB1">
              <w:rPr>
                <w:rFonts w:cstheme="minorHAnsi"/>
                <w:b/>
                <w:lang w:val="tr-TR"/>
              </w:rPr>
              <w:lastRenderedPageBreak/>
              <w:t>Veri Sorumlusu:</w:t>
            </w:r>
            <w:r w:rsidRPr="00882DB1">
              <w:rPr>
                <w:rFonts w:cstheme="minorHAnsi"/>
                <w:b/>
                <w:lang w:val="tr-TR"/>
              </w:rPr>
              <w:tab/>
            </w:r>
          </w:p>
          <w:p w14:paraId="7875E15F" w14:textId="7589C6DC" w:rsidR="002A4824" w:rsidRPr="00882DB1" w:rsidRDefault="002A4824" w:rsidP="002A4824">
            <w:pPr>
              <w:rPr>
                <w:rFonts w:cstheme="minorHAnsi"/>
                <w:b/>
                <w:lang w:val="tr-TR"/>
              </w:rPr>
            </w:pPr>
            <w:r w:rsidRPr="00882DB1">
              <w:rPr>
                <w:rFonts w:cstheme="minorHAnsi"/>
                <w:b/>
                <w:lang w:val="tr-TR"/>
              </w:rPr>
              <w:t>Adres:</w:t>
            </w:r>
          </w:p>
          <w:p w14:paraId="5D53E7CE" w14:textId="77777777" w:rsidR="002A4824" w:rsidRPr="00882DB1" w:rsidRDefault="002A4824" w:rsidP="002A4824">
            <w:pPr>
              <w:rPr>
                <w:rFonts w:cstheme="minorHAnsi"/>
                <w:b/>
                <w:lang w:val="tr-TR"/>
              </w:rPr>
            </w:pPr>
            <w:r w:rsidRPr="00882DB1">
              <w:rPr>
                <w:rFonts w:cstheme="minorHAnsi"/>
                <w:b/>
                <w:lang w:val="tr-TR"/>
              </w:rPr>
              <w:t>İrtibat Numarası:</w:t>
            </w:r>
          </w:p>
          <w:p w14:paraId="43504135" w14:textId="77777777" w:rsidR="002A4824" w:rsidRPr="00882DB1" w:rsidRDefault="002A4824" w:rsidP="002A4824">
            <w:pPr>
              <w:rPr>
                <w:rFonts w:cstheme="minorHAnsi"/>
                <w:b/>
                <w:lang w:val="tr-TR"/>
              </w:rPr>
            </w:pPr>
            <w:r w:rsidRPr="00882DB1">
              <w:rPr>
                <w:rFonts w:cstheme="minorHAnsi"/>
                <w:b/>
                <w:lang w:val="tr-TR"/>
              </w:rPr>
              <w:t>E-posta:</w:t>
            </w:r>
            <w:r w:rsidRPr="00882DB1">
              <w:rPr>
                <w:rFonts w:cstheme="minorHAnsi"/>
                <w:b/>
                <w:lang w:val="tr-TR"/>
              </w:rPr>
              <w:tab/>
            </w:r>
          </w:p>
          <w:p w14:paraId="1F5322D1" w14:textId="77777777" w:rsidR="002A4824" w:rsidRPr="00882DB1" w:rsidRDefault="002A4824" w:rsidP="002A4824">
            <w:pPr>
              <w:rPr>
                <w:rFonts w:cstheme="minorHAnsi"/>
                <w:b/>
                <w:lang w:val="tr-TR"/>
              </w:rPr>
            </w:pPr>
            <w:r w:rsidRPr="00882DB1">
              <w:rPr>
                <w:rFonts w:cstheme="minorHAnsi"/>
                <w:b/>
                <w:lang w:val="tr-TR"/>
              </w:rPr>
              <w:t>İmza/Kaşe</w:t>
            </w:r>
          </w:p>
          <w:p w14:paraId="536B77AD" w14:textId="77777777" w:rsidR="002A4824" w:rsidRPr="00882DB1" w:rsidRDefault="002A4824" w:rsidP="002A4824">
            <w:pPr>
              <w:ind w:left="360"/>
              <w:rPr>
                <w:rFonts w:cstheme="minorHAnsi"/>
                <w:b/>
                <w:lang w:val="tr-TR"/>
              </w:rPr>
            </w:pPr>
          </w:p>
          <w:p w14:paraId="5CDB1A30" w14:textId="77777777" w:rsidR="002A4824" w:rsidRPr="00882DB1" w:rsidRDefault="002A4824" w:rsidP="002A4824">
            <w:pPr>
              <w:ind w:left="360"/>
              <w:rPr>
                <w:rFonts w:cstheme="minorHAnsi"/>
                <w:b/>
                <w:lang w:val="tr-TR"/>
              </w:rPr>
            </w:pPr>
          </w:p>
          <w:p w14:paraId="591A9019" w14:textId="77777777" w:rsidR="00882DB1" w:rsidRPr="00882DB1" w:rsidRDefault="00882DB1" w:rsidP="002A4824">
            <w:pPr>
              <w:ind w:left="360"/>
              <w:rPr>
                <w:rFonts w:cstheme="minorHAnsi"/>
                <w:b/>
                <w:lang w:val="tr-TR"/>
              </w:rPr>
            </w:pPr>
          </w:p>
          <w:p w14:paraId="6B16EB64" w14:textId="77777777" w:rsidR="00882DB1" w:rsidRPr="00882DB1" w:rsidRDefault="00882DB1" w:rsidP="002A4824">
            <w:pPr>
              <w:ind w:left="360"/>
              <w:rPr>
                <w:rFonts w:cstheme="minorHAnsi"/>
                <w:b/>
                <w:lang w:val="tr-TR"/>
              </w:rPr>
            </w:pPr>
          </w:p>
          <w:p w14:paraId="4AF55EC5" w14:textId="77777777" w:rsidR="00882DB1" w:rsidRPr="00882DB1" w:rsidRDefault="00882DB1" w:rsidP="00882DB1">
            <w:pPr>
              <w:rPr>
                <w:rFonts w:cstheme="minorHAnsi"/>
                <w:b/>
                <w:lang w:val="tr-TR"/>
              </w:rPr>
            </w:pPr>
          </w:p>
          <w:p w14:paraId="7FC1768C" w14:textId="78E25E93" w:rsidR="002A4824" w:rsidRPr="00882DB1" w:rsidRDefault="002A4824" w:rsidP="002A4824">
            <w:pPr>
              <w:rPr>
                <w:rFonts w:cstheme="minorHAnsi"/>
                <w:b/>
                <w:lang w:val="tr-TR"/>
              </w:rPr>
            </w:pPr>
          </w:p>
        </w:tc>
        <w:tc>
          <w:tcPr>
            <w:tcW w:w="4502" w:type="dxa"/>
          </w:tcPr>
          <w:p w14:paraId="2F854CD5" w14:textId="2B100B0D" w:rsidR="002A4824" w:rsidRPr="00882DB1" w:rsidRDefault="002A4824" w:rsidP="002A4824">
            <w:pPr>
              <w:keepNext/>
              <w:rPr>
                <w:rFonts w:cstheme="minorHAnsi"/>
                <w:b/>
                <w:lang w:val="tr-TR"/>
              </w:rPr>
            </w:pPr>
            <w:r w:rsidRPr="00882DB1">
              <w:rPr>
                <w:rFonts w:cstheme="minorHAnsi"/>
                <w:b/>
                <w:lang w:val="tr-TR"/>
              </w:rPr>
              <w:t>Veri İşleyen:</w:t>
            </w:r>
            <w:r w:rsidRPr="00882DB1">
              <w:rPr>
                <w:rFonts w:cstheme="minorHAnsi"/>
                <w:b/>
                <w:lang w:val="tr-TR"/>
              </w:rPr>
              <w:tab/>
            </w:r>
          </w:p>
          <w:p w14:paraId="27E148DE" w14:textId="77777777" w:rsidR="002A4824" w:rsidRPr="00882DB1" w:rsidRDefault="002A4824" w:rsidP="002A4824">
            <w:pPr>
              <w:rPr>
                <w:rFonts w:cstheme="minorHAnsi"/>
                <w:b/>
                <w:lang w:val="tr-TR"/>
              </w:rPr>
            </w:pPr>
            <w:r w:rsidRPr="00882DB1">
              <w:rPr>
                <w:rFonts w:cstheme="minorHAnsi"/>
                <w:b/>
                <w:lang w:val="tr-TR"/>
              </w:rPr>
              <w:t>Açık Adres:</w:t>
            </w:r>
          </w:p>
          <w:p w14:paraId="08B53D0D" w14:textId="77777777" w:rsidR="002A4824" w:rsidRPr="00882DB1" w:rsidRDefault="002A4824" w:rsidP="002A4824">
            <w:pPr>
              <w:rPr>
                <w:rFonts w:cstheme="minorHAnsi"/>
                <w:b/>
                <w:lang w:val="tr-TR"/>
              </w:rPr>
            </w:pPr>
            <w:r w:rsidRPr="00882DB1">
              <w:rPr>
                <w:rFonts w:cstheme="minorHAnsi"/>
                <w:b/>
                <w:lang w:val="tr-TR"/>
              </w:rPr>
              <w:t>İrtibat Numarası:</w:t>
            </w:r>
          </w:p>
          <w:p w14:paraId="2BF3CB61" w14:textId="77777777" w:rsidR="002A4824" w:rsidRPr="00882DB1" w:rsidRDefault="002A4824" w:rsidP="002A4824">
            <w:pPr>
              <w:rPr>
                <w:rFonts w:cstheme="minorHAnsi"/>
                <w:b/>
                <w:lang w:val="tr-TR"/>
              </w:rPr>
            </w:pPr>
            <w:r w:rsidRPr="00882DB1">
              <w:rPr>
                <w:rFonts w:cstheme="minorHAnsi"/>
                <w:b/>
                <w:lang w:val="tr-TR"/>
              </w:rPr>
              <w:t>E-posta:</w:t>
            </w:r>
            <w:r w:rsidRPr="00882DB1">
              <w:rPr>
                <w:rFonts w:cstheme="minorHAnsi"/>
                <w:b/>
                <w:lang w:val="tr-TR"/>
              </w:rPr>
              <w:tab/>
            </w:r>
          </w:p>
          <w:p w14:paraId="42CE0FCC" w14:textId="77777777" w:rsidR="002A4824" w:rsidRPr="00882DB1" w:rsidRDefault="002A4824" w:rsidP="002A4824">
            <w:pPr>
              <w:rPr>
                <w:rFonts w:cstheme="minorHAnsi"/>
                <w:b/>
                <w:lang w:val="tr-TR"/>
              </w:rPr>
            </w:pPr>
            <w:r w:rsidRPr="00882DB1">
              <w:rPr>
                <w:rFonts w:cstheme="minorHAnsi"/>
                <w:b/>
                <w:lang w:val="tr-TR"/>
              </w:rPr>
              <w:t>İmza/Kaşe</w:t>
            </w:r>
          </w:p>
          <w:p w14:paraId="3BEDCA74" w14:textId="77777777" w:rsidR="002A4824" w:rsidRPr="00882DB1" w:rsidRDefault="002A4824" w:rsidP="003626B1">
            <w:pPr>
              <w:spacing w:before="120" w:after="120" w:line="360" w:lineRule="auto"/>
              <w:rPr>
                <w:rFonts w:cstheme="minorHAnsi"/>
                <w:b/>
                <w:lang w:val="tr-TR"/>
              </w:rPr>
            </w:pPr>
          </w:p>
        </w:tc>
      </w:tr>
    </w:tbl>
    <w:p w14:paraId="1A2C12E0" w14:textId="77777777" w:rsidR="00B440D0" w:rsidRPr="00882DB1" w:rsidRDefault="00B440D0" w:rsidP="003626B1">
      <w:pPr>
        <w:spacing w:before="120" w:after="120" w:line="360" w:lineRule="auto"/>
        <w:rPr>
          <w:rFonts w:cstheme="minorHAnsi"/>
          <w:lang w:val="tr-TR"/>
        </w:rPr>
      </w:pPr>
    </w:p>
    <w:sectPr w:rsidR="00B440D0" w:rsidRPr="00882DB1" w:rsidSect="00882DB1">
      <w:pgSz w:w="11906" w:h="16838"/>
      <w:pgMar w:top="1276" w:right="1418" w:bottom="113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516F0" w14:textId="77777777" w:rsidR="00D70953" w:rsidRDefault="00D70953" w:rsidP="005B4992">
      <w:pPr>
        <w:spacing w:after="0" w:line="240" w:lineRule="auto"/>
      </w:pPr>
      <w:r>
        <w:separator/>
      </w:r>
    </w:p>
  </w:endnote>
  <w:endnote w:type="continuationSeparator" w:id="0">
    <w:p w14:paraId="36539D1D" w14:textId="77777777" w:rsidR="00D70953" w:rsidRDefault="00D70953" w:rsidP="005B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7BAEC" w14:textId="77777777" w:rsidR="00D70953" w:rsidRDefault="00D70953" w:rsidP="005B4992">
      <w:pPr>
        <w:spacing w:after="0" w:line="240" w:lineRule="auto"/>
      </w:pPr>
      <w:r>
        <w:separator/>
      </w:r>
    </w:p>
  </w:footnote>
  <w:footnote w:type="continuationSeparator" w:id="0">
    <w:p w14:paraId="42A7D1A9" w14:textId="77777777" w:rsidR="00D70953" w:rsidRDefault="00D70953" w:rsidP="005B4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723AC"/>
    <w:multiLevelType w:val="hybridMultilevel"/>
    <w:tmpl w:val="34A28CB0"/>
    <w:lvl w:ilvl="0" w:tplc="C380A7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336152"/>
    <w:multiLevelType w:val="hybridMultilevel"/>
    <w:tmpl w:val="0E760112"/>
    <w:lvl w:ilvl="0" w:tplc="897C01C4">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992"/>
    <w:rsid w:val="00030034"/>
    <w:rsid w:val="00052C50"/>
    <w:rsid w:val="00065E5D"/>
    <w:rsid w:val="00076E3F"/>
    <w:rsid w:val="00146CE8"/>
    <w:rsid w:val="00194FC2"/>
    <w:rsid w:val="001C0F97"/>
    <w:rsid w:val="002608CE"/>
    <w:rsid w:val="002A4824"/>
    <w:rsid w:val="002B7D8A"/>
    <w:rsid w:val="002C66D7"/>
    <w:rsid w:val="002D2ABF"/>
    <w:rsid w:val="002F1D14"/>
    <w:rsid w:val="003115FE"/>
    <w:rsid w:val="003626B1"/>
    <w:rsid w:val="003C75D8"/>
    <w:rsid w:val="004432EC"/>
    <w:rsid w:val="0046685D"/>
    <w:rsid w:val="004B1779"/>
    <w:rsid w:val="004F356C"/>
    <w:rsid w:val="00550BC2"/>
    <w:rsid w:val="005B4992"/>
    <w:rsid w:val="005B6E44"/>
    <w:rsid w:val="005F7434"/>
    <w:rsid w:val="006141D1"/>
    <w:rsid w:val="00646416"/>
    <w:rsid w:val="006A113B"/>
    <w:rsid w:val="006A6FE1"/>
    <w:rsid w:val="007967A4"/>
    <w:rsid w:val="007C6DBE"/>
    <w:rsid w:val="007E6D6C"/>
    <w:rsid w:val="008322D2"/>
    <w:rsid w:val="0083660B"/>
    <w:rsid w:val="00836D08"/>
    <w:rsid w:val="008730CC"/>
    <w:rsid w:val="0088108F"/>
    <w:rsid w:val="00882DB1"/>
    <w:rsid w:val="008E5169"/>
    <w:rsid w:val="008E5673"/>
    <w:rsid w:val="00965687"/>
    <w:rsid w:val="00971C74"/>
    <w:rsid w:val="009B5908"/>
    <w:rsid w:val="009C6072"/>
    <w:rsid w:val="00A10CF9"/>
    <w:rsid w:val="00A612B4"/>
    <w:rsid w:val="00A77A9B"/>
    <w:rsid w:val="00A84AF4"/>
    <w:rsid w:val="00AD3B7A"/>
    <w:rsid w:val="00AE15DF"/>
    <w:rsid w:val="00AE373E"/>
    <w:rsid w:val="00B166A5"/>
    <w:rsid w:val="00B42B0C"/>
    <w:rsid w:val="00B440D0"/>
    <w:rsid w:val="00B851CD"/>
    <w:rsid w:val="00BA1A15"/>
    <w:rsid w:val="00BD08E2"/>
    <w:rsid w:val="00BE15F3"/>
    <w:rsid w:val="00C0372E"/>
    <w:rsid w:val="00C46FB1"/>
    <w:rsid w:val="00C66F94"/>
    <w:rsid w:val="00C81A12"/>
    <w:rsid w:val="00CD2F49"/>
    <w:rsid w:val="00CF6E6F"/>
    <w:rsid w:val="00D142B8"/>
    <w:rsid w:val="00D4494A"/>
    <w:rsid w:val="00D70953"/>
    <w:rsid w:val="00D8229D"/>
    <w:rsid w:val="00DD6B4A"/>
    <w:rsid w:val="00ED6005"/>
    <w:rsid w:val="00EF1959"/>
    <w:rsid w:val="00F14ED3"/>
    <w:rsid w:val="00F75567"/>
    <w:rsid w:val="00F941A4"/>
    <w:rsid w:val="00FD53D0"/>
    <w:rsid w:val="00FE0B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4098"/>
  <w15:docId w15:val="{7F3403D5-C49F-4597-85AF-20732FC9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9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4992"/>
  </w:style>
  <w:style w:type="paragraph" w:styleId="Footer">
    <w:name w:val="footer"/>
    <w:basedOn w:val="Normal"/>
    <w:link w:val="FooterChar"/>
    <w:uiPriority w:val="99"/>
    <w:unhideWhenUsed/>
    <w:rsid w:val="005B49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4992"/>
  </w:style>
  <w:style w:type="table" w:styleId="TableGrid">
    <w:name w:val="Table Grid"/>
    <w:basedOn w:val="TableNormal"/>
    <w:uiPriority w:val="39"/>
    <w:rsid w:val="00B4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15FE"/>
    <w:rPr>
      <w:sz w:val="16"/>
      <w:szCs w:val="16"/>
    </w:rPr>
  </w:style>
  <w:style w:type="paragraph" w:styleId="CommentText">
    <w:name w:val="annotation text"/>
    <w:basedOn w:val="Normal"/>
    <w:link w:val="CommentTextChar"/>
    <w:uiPriority w:val="99"/>
    <w:semiHidden/>
    <w:unhideWhenUsed/>
    <w:rsid w:val="003115FE"/>
    <w:pPr>
      <w:spacing w:line="240" w:lineRule="auto"/>
    </w:pPr>
    <w:rPr>
      <w:sz w:val="20"/>
      <w:szCs w:val="20"/>
    </w:rPr>
  </w:style>
  <w:style w:type="character" w:customStyle="1" w:styleId="CommentTextChar">
    <w:name w:val="Comment Text Char"/>
    <w:basedOn w:val="DefaultParagraphFont"/>
    <w:link w:val="CommentText"/>
    <w:uiPriority w:val="99"/>
    <w:semiHidden/>
    <w:rsid w:val="003115FE"/>
    <w:rPr>
      <w:sz w:val="20"/>
      <w:szCs w:val="20"/>
    </w:rPr>
  </w:style>
  <w:style w:type="paragraph" w:styleId="CommentSubject">
    <w:name w:val="annotation subject"/>
    <w:basedOn w:val="CommentText"/>
    <w:next w:val="CommentText"/>
    <w:link w:val="CommentSubjectChar"/>
    <w:uiPriority w:val="99"/>
    <w:semiHidden/>
    <w:unhideWhenUsed/>
    <w:rsid w:val="003115FE"/>
    <w:rPr>
      <w:b/>
      <w:bCs/>
    </w:rPr>
  </w:style>
  <w:style w:type="character" w:customStyle="1" w:styleId="CommentSubjectChar">
    <w:name w:val="Comment Subject Char"/>
    <w:basedOn w:val="CommentTextChar"/>
    <w:link w:val="CommentSubject"/>
    <w:uiPriority w:val="99"/>
    <w:semiHidden/>
    <w:rsid w:val="003115FE"/>
    <w:rPr>
      <w:b/>
      <w:bCs/>
      <w:sz w:val="20"/>
      <w:szCs w:val="20"/>
    </w:rPr>
  </w:style>
  <w:style w:type="paragraph" w:styleId="BalloonText">
    <w:name w:val="Balloon Text"/>
    <w:basedOn w:val="Normal"/>
    <w:link w:val="BalloonTextChar"/>
    <w:uiPriority w:val="99"/>
    <w:semiHidden/>
    <w:unhideWhenUsed/>
    <w:rsid w:val="0031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5FE"/>
    <w:rPr>
      <w:rFonts w:ascii="Tahoma" w:hAnsi="Tahoma" w:cs="Tahoma"/>
      <w:sz w:val="16"/>
      <w:szCs w:val="16"/>
    </w:rPr>
  </w:style>
  <w:style w:type="paragraph" w:styleId="ListParagraph">
    <w:name w:val="List Paragraph"/>
    <w:basedOn w:val="Normal"/>
    <w:uiPriority w:val="34"/>
    <w:qFormat/>
    <w:rsid w:val="00B42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864</Words>
  <Characters>4925</Characters>
  <Application>Microsoft Office Word</Application>
  <DocSecurity>0</DocSecurity>
  <Lines>41</Lines>
  <Paragraphs>11</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Horn</dc:creator>
  <cp:lastModifiedBy>Akpinar, Nihat</cp:lastModifiedBy>
  <cp:revision>5</cp:revision>
  <cp:lastPrinted>2018-05-25T17:02:00Z</cp:lastPrinted>
  <dcterms:created xsi:type="dcterms:W3CDTF">2018-08-03T08:16:00Z</dcterms:created>
  <dcterms:modified xsi:type="dcterms:W3CDTF">2020-01-15T14:00:00Z</dcterms:modified>
</cp:coreProperties>
</file>